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8C07" w14:textId="77777777" w:rsidR="00B91964" w:rsidRDefault="00B91964"/>
    <w:p w14:paraId="65A68761" w14:textId="2E27D81A" w:rsidR="00F6189F" w:rsidRPr="002C4EEF" w:rsidRDefault="00821D62">
      <w:r w:rsidRPr="002C4EEF">
        <w:rPr>
          <w:noProof/>
          <w:lang w:eastAsia="en-GB"/>
        </w:rPr>
        <w:drawing>
          <wp:anchor distT="0" distB="0" distL="114300" distR="114300" simplePos="0" relativeHeight="251662336" behindDoc="1" locked="0" layoutInCell="1" allowOverlap="1" wp14:anchorId="499A22C1" wp14:editId="4FC2C3C7">
            <wp:simplePos x="0" y="0"/>
            <wp:positionH relativeFrom="page">
              <wp:align>center</wp:align>
            </wp:positionH>
            <wp:positionV relativeFrom="paragraph">
              <wp:posOffset>0</wp:posOffset>
            </wp:positionV>
            <wp:extent cx="1314000" cy="1314000"/>
            <wp:effectExtent l="0" t="0" r="635" b="635"/>
            <wp:wrapNone/>
            <wp:docPr id="235" name="Picture 23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000" cy="1314000"/>
                    </a:xfrm>
                    <a:prstGeom prst="rect">
                      <a:avLst/>
                    </a:prstGeom>
                  </pic:spPr>
                </pic:pic>
              </a:graphicData>
            </a:graphic>
            <wp14:sizeRelH relativeFrom="page">
              <wp14:pctWidth>0</wp14:pctWidth>
            </wp14:sizeRelH>
            <wp14:sizeRelV relativeFrom="page">
              <wp14:pctHeight>0</wp14:pctHeight>
            </wp14:sizeRelV>
          </wp:anchor>
        </w:drawing>
      </w:r>
    </w:p>
    <w:p w14:paraId="40A49065" w14:textId="77777777" w:rsidR="00F6189F" w:rsidRPr="002C4EEF" w:rsidRDefault="00F6189F"/>
    <w:p w14:paraId="04444BB6" w14:textId="77777777" w:rsidR="00F6189F" w:rsidRPr="002C4EEF" w:rsidRDefault="00F6189F"/>
    <w:p w14:paraId="4B193080" w14:textId="77777777" w:rsidR="00F6189F" w:rsidRPr="002C4EEF" w:rsidRDefault="00F6189F"/>
    <w:p w14:paraId="20667EDC" w14:textId="77777777" w:rsidR="00F6189F" w:rsidRDefault="00F6189F"/>
    <w:p w14:paraId="1BF8C9AD" w14:textId="77777777" w:rsidR="00B91964" w:rsidRDefault="00B91964"/>
    <w:p w14:paraId="325DBBCE" w14:textId="77777777" w:rsidR="00B91964" w:rsidRDefault="00B91964"/>
    <w:tbl>
      <w:tblPr>
        <w:tblStyle w:val="TableGrid"/>
        <w:tblW w:w="0" w:type="auto"/>
        <w:tblLook w:val="04A0" w:firstRow="1" w:lastRow="0" w:firstColumn="1" w:lastColumn="0" w:noHBand="0" w:noVBand="1"/>
      </w:tblPr>
      <w:tblGrid>
        <w:gridCol w:w="4508"/>
        <w:gridCol w:w="4508"/>
      </w:tblGrid>
      <w:tr w:rsidR="003B1E50" w14:paraId="2CCB374C" w14:textId="77777777" w:rsidTr="00B91964">
        <w:trPr>
          <w:trHeight w:val="851"/>
        </w:trPr>
        <w:tc>
          <w:tcPr>
            <w:tcW w:w="9016" w:type="dxa"/>
            <w:gridSpan w:val="2"/>
            <w:shd w:val="clear" w:color="auto" w:fill="002060"/>
            <w:vAlign w:val="center"/>
          </w:tcPr>
          <w:p w14:paraId="30FE7495" w14:textId="06A82022" w:rsidR="003B1E50" w:rsidRPr="00FF047A" w:rsidRDefault="003B1E50" w:rsidP="003B1E50">
            <w:pPr>
              <w:jc w:val="center"/>
              <w:rPr>
                <w:rFonts w:ascii="Calibri" w:hAnsi="Calibri" w:cs="Calibri"/>
                <w:b/>
                <w:sz w:val="48"/>
                <w:szCs w:val="48"/>
              </w:rPr>
            </w:pPr>
            <w:r w:rsidRPr="00FF047A">
              <w:rPr>
                <w:rFonts w:ascii="Calibri" w:hAnsi="Calibri" w:cs="Calibri"/>
                <w:b/>
                <w:sz w:val="48"/>
                <w:szCs w:val="48"/>
              </w:rPr>
              <w:t>Bridgewater Housing Association</w:t>
            </w:r>
            <w:r w:rsidR="00B91964" w:rsidRPr="00FF047A">
              <w:rPr>
                <w:rFonts w:ascii="Calibri" w:hAnsi="Calibri" w:cs="Calibri"/>
                <w:b/>
                <w:sz w:val="48"/>
                <w:szCs w:val="48"/>
              </w:rPr>
              <w:t xml:space="preserve"> Policy</w:t>
            </w:r>
          </w:p>
        </w:tc>
      </w:tr>
      <w:tr w:rsidR="003B1E50" w14:paraId="27780D43" w14:textId="77777777" w:rsidTr="00B91964">
        <w:trPr>
          <w:trHeight w:val="397"/>
        </w:trPr>
        <w:tc>
          <w:tcPr>
            <w:tcW w:w="4508" w:type="dxa"/>
          </w:tcPr>
          <w:p w14:paraId="0B1516CF" w14:textId="0B379A30" w:rsidR="003B1E50" w:rsidRPr="00B91964" w:rsidRDefault="00B91964">
            <w:pPr>
              <w:rPr>
                <w:rFonts w:asciiTheme="minorHAnsi" w:hAnsiTheme="minorHAnsi" w:cstheme="minorHAnsi"/>
                <w:b/>
              </w:rPr>
            </w:pPr>
            <w:r w:rsidRPr="00B91964">
              <w:rPr>
                <w:rFonts w:asciiTheme="minorHAnsi" w:hAnsiTheme="minorHAnsi" w:cstheme="minorHAnsi"/>
                <w:b/>
              </w:rPr>
              <w:t>Policy name</w:t>
            </w:r>
          </w:p>
        </w:tc>
        <w:tc>
          <w:tcPr>
            <w:tcW w:w="4508" w:type="dxa"/>
          </w:tcPr>
          <w:p w14:paraId="4318BF84" w14:textId="53407C06" w:rsidR="003B1E50" w:rsidRPr="00B91964" w:rsidRDefault="006D6638">
            <w:pPr>
              <w:rPr>
                <w:rFonts w:asciiTheme="minorHAnsi" w:hAnsiTheme="minorHAnsi" w:cstheme="minorHAnsi"/>
              </w:rPr>
            </w:pPr>
            <w:r>
              <w:rPr>
                <w:rFonts w:asciiTheme="minorHAnsi" w:hAnsiTheme="minorHAnsi" w:cstheme="minorHAnsi"/>
              </w:rPr>
              <w:t>Notifiable Events</w:t>
            </w:r>
          </w:p>
        </w:tc>
      </w:tr>
      <w:tr w:rsidR="003B1E50" w14:paraId="4B44527A" w14:textId="77777777" w:rsidTr="00B91964">
        <w:trPr>
          <w:trHeight w:val="397"/>
        </w:trPr>
        <w:tc>
          <w:tcPr>
            <w:tcW w:w="4508" w:type="dxa"/>
          </w:tcPr>
          <w:p w14:paraId="43A182CE" w14:textId="6F22D9E8" w:rsidR="003B1E50" w:rsidRPr="00B91964" w:rsidRDefault="00B91964">
            <w:pPr>
              <w:rPr>
                <w:rFonts w:asciiTheme="minorHAnsi" w:hAnsiTheme="minorHAnsi" w:cstheme="minorHAnsi"/>
                <w:b/>
              </w:rPr>
            </w:pPr>
            <w:r w:rsidRPr="00B91964">
              <w:rPr>
                <w:rFonts w:asciiTheme="minorHAnsi" w:hAnsiTheme="minorHAnsi" w:cstheme="minorHAnsi"/>
                <w:b/>
              </w:rPr>
              <w:t>Policy category</w:t>
            </w:r>
          </w:p>
        </w:tc>
        <w:tc>
          <w:tcPr>
            <w:tcW w:w="4508" w:type="dxa"/>
          </w:tcPr>
          <w:p w14:paraId="2623ECE8" w14:textId="4BA61598" w:rsidR="003B1E50" w:rsidRPr="00B91964" w:rsidRDefault="00B91964">
            <w:pPr>
              <w:rPr>
                <w:rFonts w:asciiTheme="minorHAnsi" w:hAnsiTheme="minorHAnsi" w:cstheme="minorHAnsi"/>
              </w:rPr>
            </w:pPr>
            <w:r>
              <w:rPr>
                <w:rFonts w:asciiTheme="minorHAnsi" w:hAnsiTheme="minorHAnsi" w:cstheme="minorHAnsi"/>
              </w:rPr>
              <w:t>Corporate (</w:t>
            </w:r>
            <w:r w:rsidR="004C067D">
              <w:rPr>
                <w:rFonts w:asciiTheme="minorHAnsi" w:hAnsiTheme="minorHAnsi" w:cstheme="minorHAnsi"/>
              </w:rPr>
              <w:t>Governance</w:t>
            </w:r>
            <w:r>
              <w:rPr>
                <w:rFonts w:asciiTheme="minorHAnsi" w:hAnsiTheme="minorHAnsi" w:cstheme="minorHAnsi"/>
              </w:rPr>
              <w:t>)</w:t>
            </w:r>
          </w:p>
        </w:tc>
      </w:tr>
      <w:tr w:rsidR="003B1E50" w14:paraId="20104187" w14:textId="77777777" w:rsidTr="00B91964">
        <w:trPr>
          <w:trHeight w:val="397"/>
        </w:trPr>
        <w:tc>
          <w:tcPr>
            <w:tcW w:w="4508" w:type="dxa"/>
          </w:tcPr>
          <w:p w14:paraId="171CF621" w14:textId="270E9B82" w:rsidR="003B1E50" w:rsidRPr="00B91964" w:rsidRDefault="00B91964">
            <w:pPr>
              <w:rPr>
                <w:rFonts w:asciiTheme="minorHAnsi" w:hAnsiTheme="minorHAnsi" w:cstheme="minorHAnsi"/>
                <w:b/>
              </w:rPr>
            </w:pPr>
            <w:r w:rsidRPr="00B91964">
              <w:rPr>
                <w:rFonts w:asciiTheme="minorHAnsi" w:hAnsiTheme="minorHAnsi" w:cstheme="minorHAnsi"/>
                <w:b/>
              </w:rPr>
              <w:t>Policy number</w:t>
            </w:r>
          </w:p>
        </w:tc>
        <w:tc>
          <w:tcPr>
            <w:tcW w:w="4508" w:type="dxa"/>
          </w:tcPr>
          <w:p w14:paraId="4D1B015E" w14:textId="7C3EBF18" w:rsidR="003B1E50" w:rsidRPr="00B91964" w:rsidRDefault="005216E7">
            <w:pPr>
              <w:rPr>
                <w:rFonts w:asciiTheme="minorHAnsi" w:hAnsiTheme="minorHAnsi" w:cstheme="minorHAnsi"/>
              </w:rPr>
            </w:pPr>
            <w:r>
              <w:rPr>
                <w:rFonts w:asciiTheme="minorHAnsi" w:hAnsiTheme="minorHAnsi" w:cstheme="minorHAnsi"/>
              </w:rPr>
              <w:t>CS22</w:t>
            </w:r>
          </w:p>
        </w:tc>
      </w:tr>
      <w:tr w:rsidR="003B1E50" w14:paraId="0A8F7586" w14:textId="77777777" w:rsidTr="00B91964">
        <w:trPr>
          <w:trHeight w:val="397"/>
        </w:trPr>
        <w:tc>
          <w:tcPr>
            <w:tcW w:w="4508" w:type="dxa"/>
          </w:tcPr>
          <w:p w14:paraId="2AAE8B5F" w14:textId="76709860" w:rsidR="003B1E50" w:rsidRPr="00B91964" w:rsidRDefault="00B91964">
            <w:pPr>
              <w:rPr>
                <w:rFonts w:asciiTheme="minorHAnsi" w:hAnsiTheme="minorHAnsi" w:cstheme="minorHAnsi"/>
                <w:b/>
              </w:rPr>
            </w:pPr>
            <w:r w:rsidRPr="00B91964">
              <w:rPr>
                <w:rFonts w:asciiTheme="minorHAnsi" w:hAnsiTheme="minorHAnsi" w:cstheme="minorHAnsi"/>
                <w:b/>
              </w:rPr>
              <w:t>Date adopted</w:t>
            </w:r>
          </w:p>
        </w:tc>
        <w:tc>
          <w:tcPr>
            <w:tcW w:w="4508" w:type="dxa"/>
          </w:tcPr>
          <w:p w14:paraId="05257F40" w14:textId="41167842" w:rsidR="003B1E50" w:rsidRPr="00B91964" w:rsidRDefault="00692A2E">
            <w:pPr>
              <w:rPr>
                <w:rFonts w:asciiTheme="minorHAnsi" w:hAnsiTheme="minorHAnsi" w:cstheme="minorHAnsi"/>
              </w:rPr>
            </w:pPr>
            <w:r>
              <w:rPr>
                <w:rFonts w:asciiTheme="minorHAnsi" w:hAnsiTheme="minorHAnsi" w:cstheme="minorHAnsi"/>
              </w:rPr>
              <w:t>2019</w:t>
            </w:r>
          </w:p>
        </w:tc>
      </w:tr>
      <w:tr w:rsidR="003B1E50" w14:paraId="18024553" w14:textId="77777777" w:rsidTr="00B91964">
        <w:trPr>
          <w:trHeight w:val="397"/>
        </w:trPr>
        <w:tc>
          <w:tcPr>
            <w:tcW w:w="4508" w:type="dxa"/>
          </w:tcPr>
          <w:p w14:paraId="3C9C3CCB" w14:textId="58928605" w:rsidR="003B1E50" w:rsidRPr="00B91964" w:rsidRDefault="00B91964">
            <w:pPr>
              <w:rPr>
                <w:rFonts w:asciiTheme="minorHAnsi" w:hAnsiTheme="minorHAnsi" w:cstheme="minorHAnsi"/>
                <w:b/>
              </w:rPr>
            </w:pPr>
            <w:r w:rsidRPr="00B91964">
              <w:rPr>
                <w:rFonts w:asciiTheme="minorHAnsi" w:hAnsiTheme="minorHAnsi" w:cstheme="minorHAnsi"/>
                <w:b/>
              </w:rPr>
              <w:t>Last review</w:t>
            </w:r>
          </w:p>
        </w:tc>
        <w:tc>
          <w:tcPr>
            <w:tcW w:w="4508" w:type="dxa"/>
          </w:tcPr>
          <w:p w14:paraId="50D50A8B" w14:textId="0523DF85" w:rsidR="003B1E50" w:rsidRPr="00B91964" w:rsidRDefault="006D6638">
            <w:pPr>
              <w:rPr>
                <w:rFonts w:asciiTheme="minorHAnsi" w:hAnsiTheme="minorHAnsi" w:cstheme="minorHAnsi"/>
              </w:rPr>
            </w:pPr>
            <w:r>
              <w:rPr>
                <w:rFonts w:asciiTheme="minorHAnsi" w:hAnsiTheme="minorHAnsi" w:cstheme="minorHAnsi"/>
              </w:rPr>
              <w:t>2019</w:t>
            </w:r>
          </w:p>
        </w:tc>
      </w:tr>
      <w:tr w:rsidR="003B1E50" w14:paraId="770BEF78" w14:textId="77777777" w:rsidTr="00B91964">
        <w:trPr>
          <w:trHeight w:val="397"/>
        </w:trPr>
        <w:tc>
          <w:tcPr>
            <w:tcW w:w="4508" w:type="dxa"/>
          </w:tcPr>
          <w:p w14:paraId="2A2A37ED" w14:textId="082C646E" w:rsidR="003B1E50" w:rsidRPr="00B91964" w:rsidRDefault="00B91964">
            <w:pPr>
              <w:rPr>
                <w:rFonts w:asciiTheme="minorHAnsi" w:hAnsiTheme="minorHAnsi" w:cstheme="minorHAnsi"/>
                <w:b/>
              </w:rPr>
            </w:pPr>
            <w:r w:rsidRPr="00B91964">
              <w:rPr>
                <w:rFonts w:asciiTheme="minorHAnsi" w:hAnsiTheme="minorHAnsi" w:cstheme="minorHAnsi"/>
                <w:b/>
              </w:rPr>
              <w:t>This review</w:t>
            </w:r>
          </w:p>
        </w:tc>
        <w:tc>
          <w:tcPr>
            <w:tcW w:w="4508" w:type="dxa"/>
          </w:tcPr>
          <w:p w14:paraId="30B05079" w14:textId="02812448" w:rsidR="003B1E50" w:rsidRPr="00B91964" w:rsidRDefault="00AC5050">
            <w:pPr>
              <w:rPr>
                <w:rFonts w:asciiTheme="minorHAnsi" w:hAnsiTheme="minorHAnsi" w:cstheme="minorHAnsi"/>
              </w:rPr>
            </w:pPr>
            <w:r>
              <w:rPr>
                <w:rFonts w:asciiTheme="minorHAnsi" w:hAnsiTheme="minorHAnsi" w:cstheme="minorHAnsi"/>
              </w:rPr>
              <w:t xml:space="preserve">September </w:t>
            </w:r>
            <w:r w:rsidR="00692A2E">
              <w:rPr>
                <w:rFonts w:asciiTheme="minorHAnsi" w:hAnsiTheme="minorHAnsi" w:cstheme="minorHAnsi"/>
              </w:rPr>
              <w:t>2023</w:t>
            </w:r>
          </w:p>
        </w:tc>
      </w:tr>
      <w:tr w:rsidR="003B1E50" w14:paraId="7D1669EF" w14:textId="77777777" w:rsidTr="00B91964">
        <w:trPr>
          <w:trHeight w:val="397"/>
        </w:trPr>
        <w:tc>
          <w:tcPr>
            <w:tcW w:w="4508" w:type="dxa"/>
          </w:tcPr>
          <w:p w14:paraId="1FEED3AB" w14:textId="2A15980B" w:rsidR="003B1E50" w:rsidRPr="00B91964" w:rsidRDefault="00B91964">
            <w:pPr>
              <w:rPr>
                <w:rFonts w:asciiTheme="minorHAnsi" w:hAnsiTheme="minorHAnsi" w:cstheme="minorHAnsi"/>
                <w:b/>
              </w:rPr>
            </w:pPr>
            <w:r w:rsidRPr="00B91964">
              <w:rPr>
                <w:rFonts w:asciiTheme="minorHAnsi" w:hAnsiTheme="minorHAnsi" w:cstheme="minorHAnsi"/>
                <w:b/>
              </w:rPr>
              <w:t>Next review</w:t>
            </w:r>
          </w:p>
        </w:tc>
        <w:tc>
          <w:tcPr>
            <w:tcW w:w="4508" w:type="dxa"/>
          </w:tcPr>
          <w:p w14:paraId="283B1160" w14:textId="6167BCB0" w:rsidR="003B1E50" w:rsidRPr="00B91964" w:rsidRDefault="00AC5050">
            <w:pPr>
              <w:rPr>
                <w:rFonts w:asciiTheme="minorHAnsi" w:hAnsiTheme="minorHAnsi" w:cstheme="minorHAnsi"/>
              </w:rPr>
            </w:pPr>
            <w:r>
              <w:rPr>
                <w:rFonts w:asciiTheme="minorHAnsi" w:hAnsiTheme="minorHAnsi" w:cstheme="minorHAnsi"/>
              </w:rPr>
              <w:t>September</w:t>
            </w:r>
            <w:r w:rsidR="00692A2E">
              <w:rPr>
                <w:rFonts w:asciiTheme="minorHAnsi" w:hAnsiTheme="minorHAnsi" w:cstheme="minorHAnsi"/>
              </w:rPr>
              <w:t xml:space="preserve"> 2026</w:t>
            </w:r>
          </w:p>
        </w:tc>
      </w:tr>
      <w:tr w:rsidR="00B91964" w14:paraId="2BC9A2D6" w14:textId="77777777" w:rsidTr="00B91964">
        <w:trPr>
          <w:trHeight w:val="397"/>
        </w:trPr>
        <w:tc>
          <w:tcPr>
            <w:tcW w:w="4508" w:type="dxa"/>
          </w:tcPr>
          <w:p w14:paraId="1792748D" w14:textId="7178B28C" w:rsidR="00B91964" w:rsidRPr="00B91964" w:rsidRDefault="00B91964">
            <w:pPr>
              <w:rPr>
                <w:rFonts w:asciiTheme="minorHAnsi" w:hAnsiTheme="minorHAnsi" w:cstheme="minorHAnsi"/>
                <w:b/>
              </w:rPr>
            </w:pPr>
            <w:r w:rsidRPr="00B91964">
              <w:rPr>
                <w:rFonts w:asciiTheme="minorHAnsi" w:hAnsiTheme="minorHAnsi" w:cstheme="minorHAnsi"/>
                <w:b/>
              </w:rPr>
              <w:t>Equalities impact assessment required</w:t>
            </w:r>
          </w:p>
        </w:tc>
        <w:tc>
          <w:tcPr>
            <w:tcW w:w="4508" w:type="dxa"/>
          </w:tcPr>
          <w:p w14:paraId="688E07AF" w14:textId="7A7DADD2" w:rsidR="00B91964" w:rsidRPr="00B91964" w:rsidRDefault="00692A2E">
            <w:pPr>
              <w:rPr>
                <w:rFonts w:asciiTheme="minorHAnsi" w:hAnsiTheme="minorHAnsi" w:cstheme="minorHAnsi"/>
              </w:rPr>
            </w:pPr>
            <w:r>
              <w:rPr>
                <w:rFonts w:asciiTheme="minorHAnsi" w:hAnsiTheme="minorHAnsi" w:cstheme="minorHAnsi"/>
              </w:rPr>
              <w:t>n/a</w:t>
            </w:r>
          </w:p>
        </w:tc>
      </w:tr>
      <w:tr w:rsidR="00B91964" w14:paraId="6613F552" w14:textId="77777777" w:rsidTr="00B91964">
        <w:trPr>
          <w:trHeight w:val="397"/>
        </w:trPr>
        <w:tc>
          <w:tcPr>
            <w:tcW w:w="4508" w:type="dxa"/>
          </w:tcPr>
          <w:p w14:paraId="77FCEC01" w14:textId="4F18F862" w:rsidR="00B91964" w:rsidRPr="00B91964" w:rsidRDefault="00B91964">
            <w:pPr>
              <w:rPr>
                <w:rFonts w:asciiTheme="minorHAnsi" w:hAnsiTheme="minorHAnsi" w:cstheme="minorHAnsi"/>
                <w:b/>
              </w:rPr>
            </w:pPr>
            <w:r>
              <w:rPr>
                <w:rFonts w:asciiTheme="minorHAnsi" w:hAnsiTheme="minorHAnsi" w:cstheme="minorHAnsi"/>
                <w:b/>
              </w:rPr>
              <w:t>Links to other documents</w:t>
            </w:r>
          </w:p>
        </w:tc>
        <w:tc>
          <w:tcPr>
            <w:tcW w:w="4508" w:type="dxa"/>
          </w:tcPr>
          <w:p w14:paraId="58E79515" w14:textId="75767FAD" w:rsidR="00692A2E" w:rsidRPr="00692A2E" w:rsidRDefault="00692A2E" w:rsidP="00692A2E">
            <w:pPr>
              <w:rPr>
                <w:rFonts w:asciiTheme="minorHAnsi" w:hAnsiTheme="minorHAnsi" w:cstheme="minorHAnsi"/>
              </w:rPr>
            </w:pPr>
            <w:r>
              <w:rPr>
                <w:rFonts w:asciiTheme="minorHAnsi" w:hAnsiTheme="minorHAnsi" w:cstheme="minorHAnsi"/>
              </w:rPr>
              <w:t xml:space="preserve">1. </w:t>
            </w:r>
            <w:r w:rsidRPr="00692A2E">
              <w:rPr>
                <w:rFonts w:asciiTheme="minorHAnsi" w:hAnsiTheme="minorHAnsi" w:cstheme="minorHAnsi"/>
              </w:rPr>
              <w:t>Whistleblowing</w:t>
            </w:r>
            <w:r w:rsidR="00D367EC">
              <w:rPr>
                <w:rFonts w:asciiTheme="minorHAnsi" w:hAnsiTheme="minorHAnsi" w:cstheme="minorHAnsi"/>
              </w:rPr>
              <w:t xml:space="preserve"> Policy</w:t>
            </w:r>
          </w:p>
          <w:p w14:paraId="1B7F9DF1" w14:textId="77777777" w:rsidR="00A55FE8" w:rsidRDefault="00692A2E" w:rsidP="00692A2E">
            <w:pPr>
              <w:rPr>
                <w:rFonts w:asciiTheme="minorHAnsi" w:hAnsiTheme="minorHAnsi" w:cstheme="minorHAnsi"/>
              </w:rPr>
            </w:pPr>
            <w:r>
              <w:rPr>
                <w:rFonts w:asciiTheme="minorHAnsi" w:hAnsiTheme="minorHAnsi" w:cstheme="minorHAnsi"/>
              </w:rPr>
              <w:t xml:space="preserve">2. </w:t>
            </w:r>
            <w:r w:rsidRPr="00692A2E">
              <w:rPr>
                <w:rFonts w:asciiTheme="minorHAnsi" w:hAnsiTheme="minorHAnsi" w:cstheme="minorHAnsi"/>
              </w:rPr>
              <w:t>Codes of Conduct</w:t>
            </w:r>
          </w:p>
          <w:p w14:paraId="3CF6E09F" w14:textId="6E8D1162" w:rsidR="00D367EC" w:rsidRPr="00692A2E" w:rsidRDefault="00D367EC" w:rsidP="00692A2E">
            <w:pPr>
              <w:rPr>
                <w:rFonts w:asciiTheme="minorHAnsi" w:hAnsiTheme="minorHAnsi" w:cstheme="minorHAnsi"/>
              </w:rPr>
            </w:pPr>
            <w:r>
              <w:rPr>
                <w:rFonts w:asciiTheme="minorHAnsi" w:hAnsiTheme="minorHAnsi" w:cstheme="minorHAnsi"/>
              </w:rPr>
              <w:t>3. Handling a Serious Complaint or Grievance Against the Chief Executive Policy</w:t>
            </w:r>
          </w:p>
        </w:tc>
      </w:tr>
      <w:tr w:rsidR="0061505F" w14:paraId="08115BB3" w14:textId="77777777" w:rsidTr="00B91964">
        <w:trPr>
          <w:trHeight w:val="397"/>
        </w:trPr>
        <w:tc>
          <w:tcPr>
            <w:tcW w:w="4508" w:type="dxa"/>
          </w:tcPr>
          <w:p w14:paraId="6A0FF81A" w14:textId="6223B389" w:rsidR="0061505F" w:rsidRDefault="0061505F">
            <w:pPr>
              <w:rPr>
                <w:rFonts w:asciiTheme="minorHAnsi" w:hAnsiTheme="minorHAnsi" w:cstheme="minorHAnsi"/>
                <w:b/>
              </w:rPr>
            </w:pPr>
            <w:r>
              <w:rPr>
                <w:rFonts w:asciiTheme="minorHAnsi" w:hAnsiTheme="minorHAnsi" w:cstheme="minorHAnsi"/>
                <w:b/>
              </w:rPr>
              <w:t>Consultation</w:t>
            </w:r>
          </w:p>
        </w:tc>
        <w:tc>
          <w:tcPr>
            <w:tcW w:w="4508" w:type="dxa"/>
          </w:tcPr>
          <w:p w14:paraId="01ADEAB2" w14:textId="32400E4E" w:rsidR="0061505F" w:rsidRPr="0061505F" w:rsidRDefault="00692A2E" w:rsidP="0061505F">
            <w:pPr>
              <w:rPr>
                <w:rFonts w:asciiTheme="minorHAnsi" w:hAnsiTheme="minorHAnsi" w:cstheme="minorHAnsi"/>
              </w:rPr>
            </w:pPr>
            <w:r>
              <w:rPr>
                <w:rFonts w:asciiTheme="minorHAnsi" w:hAnsiTheme="minorHAnsi" w:cstheme="minorHAnsi"/>
              </w:rPr>
              <w:t>n/a</w:t>
            </w:r>
          </w:p>
        </w:tc>
      </w:tr>
    </w:tbl>
    <w:p w14:paraId="15C3B645" w14:textId="2EC4F712" w:rsidR="003B1E50" w:rsidRPr="002C4EEF" w:rsidRDefault="003B1E50"/>
    <w:p w14:paraId="2FD80086" w14:textId="77777777" w:rsidR="00014748" w:rsidRPr="002C4EEF" w:rsidRDefault="00014748"/>
    <w:p w14:paraId="0C98DE56" w14:textId="77777777" w:rsidR="00014748" w:rsidRPr="002C4EEF" w:rsidRDefault="00014748">
      <w:r w:rsidRPr="002C4EEF">
        <w:br w:type="page"/>
      </w:r>
    </w:p>
    <w:p w14:paraId="3653980F" w14:textId="77777777" w:rsidR="00EB4FB1" w:rsidRPr="00413332" w:rsidRDefault="00EB4FB1" w:rsidP="00692A2E">
      <w:pPr>
        <w:pStyle w:val="Heading1"/>
        <w:rPr>
          <w:rFonts w:cs="Calibri"/>
        </w:rPr>
      </w:pPr>
      <w:r w:rsidRPr="00413332">
        <w:rPr>
          <w:rFonts w:cs="Calibri"/>
        </w:rPr>
        <w:lastRenderedPageBreak/>
        <w:t>1. INTRODUCTION</w:t>
      </w:r>
    </w:p>
    <w:p w14:paraId="60F71619" w14:textId="53F4BCF8" w:rsidR="00692A2E" w:rsidRPr="00413332" w:rsidRDefault="00692A2E" w:rsidP="00692A2E">
      <w:pPr>
        <w:pStyle w:val="NormalWeb"/>
        <w:ind w:left="720" w:hanging="720"/>
        <w:rPr>
          <w:rFonts w:ascii="Calibri" w:hAnsi="Calibri" w:cs="Calibri"/>
          <w:color w:val="000000"/>
          <w:sz w:val="22"/>
          <w:szCs w:val="22"/>
        </w:rPr>
      </w:pPr>
      <w:r w:rsidRPr="00413332">
        <w:rPr>
          <w:rFonts w:ascii="Calibri" w:hAnsi="Calibri" w:cs="Calibri"/>
          <w:sz w:val="22"/>
          <w:szCs w:val="22"/>
        </w:rPr>
        <w:t>1.1</w:t>
      </w:r>
      <w:r w:rsidRPr="00413332">
        <w:rPr>
          <w:rFonts w:ascii="Calibri" w:hAnsi="Calibri" w:cs="Calibri"/>
          <w:sz w:val="22"/>
          <w:szCs w:val="22"/>
        </w:rPr>
        <w:tab/>
      </w:r>
      <w:r w:rsidRPr="00413332">
        <w:rPr>
          <w:rFonts w:ascii="Calibri" w:hAnsi="Calibri" w:cs="Calibri"/>
          <w:color w:val="000000"/>
          <w:sz w:val="22"/>
          <w:szCs w:val="22"/>
        </w:rPr>
        <w:t>Bridgewater Housing Association (BHA) will inform the Scottish Housing Regulator (SHR) about any material, significant or exceptional issue, event, or change within its organisation and how we intend to deal with it, or why we have implemented a significant change.</w:t>
      </w:r>
    </w:p>
    <w:p w14:paraId="0217B92B" w14:textId="6F0252A1" w:rsidR="00692A2E" w:rsidRPr="00413332" w:rsidRDefault="00692A2E" w:rsidP="00692A2E">
      <w:pPr>
        <w:pStyle w:val="NormalWeb"/>
        <w:ind w:left="720" w:hanging="720"/>
        <w:rPr>
          <w:rFonts w:ascii="Calibri" w:hAnsi="Calibri" w:cs="Calibri"/>
          <w:color w:val="000000"/>
          <w:sz w:val="22"/>
          <w:szCs w:val="22"/>
        </w:rPr>
      </w:pPr>
      <w:r w:rsidRPr="00413332">
        <w:rPr>
          <w:rFonts w:ascii="Calibri" w:hAnsi="Calibri" w:cs="Calibri"/>
          <w:color w:val="000000"/>
          <w:sz w:val="22"/>
          <w:szCs w:val="22"/>
        </w:rPr>
        <w:t xml:space="preserve">1.2 </w:t>
      </w:r>
      <w:r w:rsidRPr="00413332">
        <w:rPr>
          <w:rFonts w:ascii="Calibri" w:hAnsi="Calibri" w:cs="Calibri"/>
          <w:color w:val="000000"/>
          <w:sz w:val="22"/>
          <w:szCs w:val="22"/>
        </w:rPr>
        <w:tab/>
        <w:t xml:space="preserve">Our Notifiable Events Policy sets out the issues, events, or organisational changes that we will notify the SHR about and the process we will use.  </w:t>
      </w:r>
    </w:p>
    <w:p w14:paraId="024A75DA" w14:textId="77777777" w:rsidR="00D21288" w:rsidRPr="00413332" w:rsidRDefault="00D21288">
      <w:pPr>
        <w:spacing w:after="0" w:line="240" w:lineRule="auto"/>
        <w:rPr>
          <w:rFonts w:ascii="Calibri" w:eastAsia="Times New Roman" w:hAnsi="Calibri" w:cs="Calibri"/>
          <w:sz w:val="22"/>
        </w:rPr>
      </w:pPr>
    </w:p>
    <w:p w14:paraId="06227FB8" w14:textId="00F7F9E4" w:rsidR="00EB4FB1" w:rsidRPr="00413332" w:rsidRDefault="00EB4FB1" w:rsidP="00692A2E">
      <w:pPr>
        <w:pStyle w:val="Heading1"/>
        <w:rPr>
          <w:rFonts w:cs="Calibri"/>
        </w:rPr>
      </w:pPr>
      <w:r w:rsidRPr="00413332">
        <w:rPr>
          <w:rFonts w:cs="Calibri"/>
        </w:rPr>
        <w:t xml:space="preserve">2. </w:t>
      </w:r>
      <w:r w:rsidR="006D6638" w:rsidRPr="00413332">
        <w:rPr>
          <w:rFonts w:cs="Calibri"/>
        </w:rPr>
        <w:t>REGULATORY FRAMEWORK</w:t>
      </w:r>
    </w:p>
    <w:p w14:paraId="1886D76F" w14:textId="77777777" w:rsidR="00692A2E" w:rsidRPr="00413332" w:rsidRDefault="00692A2E" w:rsidP="006D6638">
      <w:pPr>
        <w:spacing w:after="0" w:line="240" w:lineRule="auto"/>
        <w:ind w:right="-618"/>
        <w:jc w:val="both"/>
        <w:rPr>
          <w:rFonts w:ascii="Calibri" w:hAnsi="Calibri" w:cs="Calibri"/>
          <w:sz w:val="22"/>
        </w:rPr>
      </w:pPr>
    </w:p>
    <w:p w14:paraId="640519CB" w14:textId="71C024BD" w:rsidR="006D6638" w:rsidRPr="00413332" w:rsidRDefault="00AB6A74" w:rsidP="00AB6A74">
      <w:pPr>
        <w:spacing w:after="0" w:line="240" w:lineRule="auto"/>
        <w:ind w:left="720" w:right="-618" w:hanging="720"/>
        <w:jc w:val="both"/>
        <w:rPr>
          <w:rFonts w:ascii="Calibri" w:hAnsi="Calibri" w:cs="Calibri"/>
          <w:sz w:val="22"/>
        </w:rPr>
      </w:pPr>
      <w:r w:rsidRPr="00413332">
        <w:rPr>
          <w:rFonts w:ascii="Calibri" w:hAnsi="Calibri" w:cs="Calibri"/>
          <w:sz w:val="22"/>
        </w:rPr>
        <w:t>2.1</w:t>
      </w:r>
      <w:r w:rsidRPr="00413332">
        <w:rPr>
          <w:rFonts w:ascii="Calibri" w:hAnsi="Calibri" w:cs="Calibri"/>
          <w:sz w:val="22"/>
        </w:rPr>
        <w:tab/>
      </w:r>
      <w:r w:rsidR="006D6638" w:rsidRPr="00413332">
        <w:rPr>
          <w:rFonts w:ascii="Calibri" w:hAnsi="Calibri" w:cs="Calibri"/>
          <w:sz w:val="22"/>
        </w:rPr>
        <w:t>The Regulator aims to apply a risk based and proportionate approach to the way they regulate Housing Associations.  As part of this approach they will not collect information routinely on a ‘just in case’ basis.  They expect Associations to alert them to certain events as quickly as possible after they happen, or before they happen if they can be anticipated.  The purpose of this policy is to detail Bridgewater’s policy in relation to informing the Regulator about significant events (Notifiable Events) in compliance with the Regulator’s guidance.</w:t>
      </w:r>
    </w:p>
    <w:p w14:paraId="16EE8421" w14:textId="77777777" w:rsidR="00A8293E" w:rsidRPr="00413332" w:rsidRDefault="00A8293E" w:rsidP="006D6638">
      <w:pPr>
        <w:spacing w:after="0" w:line="240" w:lineRule="auto"/>
        <w:ind w:right="-618"/>
        <w:jc w:val="both"/>
        <w:rPr>
          <w:rFonts w:ascii="Calibri" w:hAnsi="Calibri" w:cs="Calibri"/>
          <w:sz w:val="22"/>
        </w:rPr>
      </w:pPr>
    </w:p>
    <w:p w14:paraId="3995758C" w14:textId="63F33EAA" w:rsidR="00692A2E" w:rsidRPr="00413332" w:rsidRDefault="00AB6A74" w:rsidP="00AB6A74">
      <w:pPr>
        <w:spacing w:before="100" w:beforeAutospacing="1" w:after="100" w:afterAutospacing="1" w:line="240" w:lineRule="auto"/>
        <w:ind w:left="720" w:hanging="720"/>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t>2.2</w:t>
      </w:r>
      <w:r w:rsidRPr="00413332">
        <w:rPr>
          <w:rFonts w:ascii="Calibri" w:eastAsia="Times New Roman" w:hAnsi="Calibri" w:cs="Calibri"/>
          <w:color w:val="000000"/>
          <w:sz w:val="22"/>
          <w:lang w:eastAsia="en-GB"/>
        </w:rPr>
        <w:tab/>
      </w:r>
      <w:r w:rsidR="00692A2E" w:rsidRPr="00413332">
        <w:rPr>
          <w:rFonts w:ascii="Calibri" w:eastAsia="Times New Roman" w:hAnsi="Calibri" w:cs="Calibri"/>
          <w:color w:val="000000"/>
          <w:sz w:val="22"/>
          <w:lang w:eastAsia="en-GB"/>
        </w:rPr>
        <w:t>This Policy fully complies with the SHR’s Regulatory Standards of Governance and Financial Management (2019</w:t>
      </w:r>
      <w:r w:rsidR="00183F26" w:rsidRPr="00413332">
        <w:rPr>
          <w:rFonts w:ascii="Calibri" w:eastAsia="Times New Roman" w:hAnsi="Calibri" w:cs="Calibri"/>
          <w:color w:val="000000"/>
          <w:sz w:val="22"/>
          <w:lang w:eastAsia="en-GB"/>
        </w:rPr>
        <w:t>),</w:t>
      </w:r>
      <w:r w:rsidR="00692A2E" w:rsidRPr="00413332">
        <w:rPr>
          <w:rFonts w:ascii="Calibri" w:eastAsia="Times New Roman" w:hAnsi="Calibri" w:cs="Calibri"/>
          <w:color w:val="000000"/>
          <w:sz w:val="22"/>
          <w:lang w:eastAsia="en-GB"/>
        </w:rPr>
        <w:t xml:space="preserve"> and all statutory guidance issued by the SHR, specifically Tenant Consultation &amp; Approvals; Whistleblowing; Section 72, and Annual Assurance Statement guidance.</w:t>
      </w:r>
    </w:p>
    <w:p w14:paraId="35CB5EFE" w14:textId="795F88C8" w:rsidR="00692A2E" w:rsidRPr="00413332" w:rsidRDefault="00AB6A74" w:rsidP="00AB6A74">
      <w:pPr>
        <w:spacing w:before="100" w:beforeAutospacing="1" w:after="100" w:afterAutospacing="1" w:line="240" w:lineRule="auto"/>
        <w:ind w:left="720" w:hanging="720"/>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t>2.3</w:t>
      </w:r>
      <w:r w:rsidRPr="00413332">
        <w:rPr>
          <w:rFonts w:ascii="Calibri" w:eastAsia="Times New Roman" w:hAnsi="Calibri" w:cs="Calibri"/>
          <w:color w:val="000000"/>
          <w:sz w:val="22"/>
          <w:lang w:eastAsia="en-GB"/>
        </w:rPr>
        <w:tab/>
        <w:t>I</w:t>
      </w:r>
      <w:r w:rsidR="00692A2E" w:rsidRPr="00413332">
        <w:rPr>
          <w:rFonts w:ascii="Calibri" w:eastAsia="Times New Roman" w:hAnsi="Calibri" w:cs="Calibri"/>
          <w:color w:val="000000"/>
          <w:sz w:val="22"/>
          <w:lang w:eastAsia="en-GB"/>
        </w:rPr>
        <w:t>n terms of legislative obligations our Policy is compliant with our legal obligations particularly relating to data protection; equalities; whistleblowing and Section 72 of the Housing (Scotland) Act 2010.</w:t>
      </w:r>
    </w:p>
    <w:p w14:paraId="7FB22663" w14:textId="77777777" w:rsidR="00692A2E" w:rsidRPr="00413332" w:rsidRDefault="00692A2E">
      <w:pPr>
        <w:spacing w:after="0" w:line="240" w:lineRule="auto"/>
        <w:rPr>
          <w:rFonts w:ascii="Calibri" w:eastAsia="Times New Roman" w:hAnsi="Calibri" w:cs="Calibri"/>
          <w:sz w:val="22"/>
        </w:rPr>
      </w:pPr>
    </w:p>
    <w:p w14:paraId="35DC9A3B" w14:textId="77777777" w:rsidR="00692A2E" w:rsidRPr="00413332" w:rsidRDefault="00692A2E">
      <w:pPr>
        <w:spacing w:after="0" w:line="240" w:lineRule="auto"/>
        <w:rPr>
          <w:rFonts w:ascii="Calibri" w:eastAsia="Times New Roman" w:hAnsi="Calibri" w:cs="Calibri"/>
          <w:sz w:val="22"/>
        </w:rPr>
      </w:pPr>
    </w:p>
    <w:p w14:paraId="28A6DE31" w14:textId="0E039308" w:rsidR="00692A2E" w:rsidRPr="00413332" w:rsidRDefault="003639D9" w:rsidP="00AB6A74">
      <w:pPr>
        <w:pStyle w:val="Heading1"/>
        <w:rPr>
          <w:rFonts w:cs="Calibri"/>
        </w:rPr>
      </w:pPr>
      <w:r w:rsidRPr="00413332">
        <w:rPr>
          <w:rFonts w:cs="Calibri"/>
        </w:rPr>
        <w:t>3</w:t>
      </w:r>
      <w:r w:rsidR="00EB4FB1" w:rsidRPr="00413332">
        <w:rPr>
          <w:rFonts w:cs="Calibri"/>
        </w:rPr>
        <w:t xml:space="preserve">. </w:t>
      </w:r>
      <w:r w:rsidR="00692A2E" w:rsidRPr="00413332">
        <w:rPr>
          <w:rFonts w:cs="Calibri"/>
        </w:rPr>
        <w:t>DEFINITION</w:t>
      </w:r>
    </w:p>
    <w:p w14:paraId="24A6C8CE" w14:textId="68E8789E" w:rsidR="00692A2E" w:rsidRPr="00413332" w:rsidRDefault="00AB6A74" w:rsidP="00692A2E">
      <w:pPr>
        <w:pStyle w:val="NormalWeb"/>
        <w:ind w:left="720" w:hanging="720"/>
        <w:rPr>
          <w:rFonts w:ascii="Calibri" w:hAnsi="Calibri" w:cs="Calibri"/>
          <w:color w:val="000000"/>
          <w:sz w:val="22"/>
          <w:szCs w:val="22"/>
        </w:rPr>
      </w:pPr>
      <w:r w:rsidRPr="00413332">
        <w:rPr>
          <w:rFonts w:ascii="Calibri" w:hAnsi="Calibri" w:cs="Calibri"/>
          <w:color w:val="000000"/>
          <w:sz w:val="22"/>
          <w:szCs w:val="22"/>
        </w:rPr>
        <w:t>3</w:t>
      </w:r>
      <w:r w:rsidR="00692A2E" w:rsidRPr="00413332">
        <w:rPr>
          <w:rFonts w:ascii="Calibri" w:hAnsi="Calibri" w:cs="Calibri"/>
          <w:color w:val="000000"/>
          <w:sz w:val="22"/>
          <w:szCs w:val="22"/>
        </w:rPr>
        <w:t xml:space="preserve">.1 </w:t>
      </w:r>
      <w:r w:rsidR="00692A2E" w:rsidRPr="00413332">
        <w:rPr>
          <w:rFonts w:ascii="Calibri" w:hAnsi="Calibri" w:cs="Calibri"/>
          <w:color w:val="000000"/>
          <w:sz w:val="22"/>
          <w:szCs w:val="22"/>
        </w:rPr>
        <w:tab/>
        <w:t>The SHR’s Notifiable Event Statutory Guidance (2019), states that as a general guideline, notifiable events are those events that may:</w:t>
      </w:r>
    </w:p>
    <w:p w14:paraId="0BBDCAF2" w14:textId="77777777" w:rsidR="00AB6A74" w:rsidRPr="00413332" w:rsidRDefault="00692A2E" w:rsidP="00183F26">
      <w:pPr>
        <w:pStyle w:val="NormalWeb"/>
        <w:numPr>
          <w:ilvl w:val="0"/>
          <w:numId w:val="4"/>
        </w:numPr>
        <w:rPr>
          <w:rFonts w:ascii="Calibri" w:hAnsi="Calibri" w:cs="Calibri"/>
          <w:iCs/>
          <w:color w:val="000000"/>
          <w:sz w:val="22"/>
          <w:szCs w:val="22"/>
        </w:rPr>
      </w:pPr>
      <w:r w:rsidRPr="00413332">
        <w:rPr>
          <w:rFonts w:ascii="Calibri" w:hAnsi="Calibri" w:cs="Calibri"/>
          <w:iCs/>
          <w:color w:val="000000"/>
          <w:sz w:val="22"/>
          <w:szCs w:val="22"/>
        </w:rPr>
        <w:t>Seriously affect the interest and safety of tenants, people who are homeless or other service users.</w:t>
      </w:r>
    </w:p>
    <w:p w14:paraId="3A420E06" w14:textId="77777777" w:rsidR="00AB6A74" w:rsidRPr="00413332" w:rsidRDefault="00692A2E" w:rsidP="00183F26">
      <w:pPr>
        <w:pStyle w:val="NormalWeb"/>
        <w:numPr>
          <w:ilvl w:val="0"/>
          <w:numId w:val="4"/>
        </w:numPr>
        <w:rPr>
          <w:rFonts w:ascii="Calibri" w:hAnsi="Calibri" w:cs="Calibri"/>
          <w:iCs/>
          <w:color w:val="000000"/>
          <w:sz w:val="22"/>
          <w:szCs w:val="22"/>
        </w:rPr>
      </w:pPr>
      <w:r w:rsidRPr="00413332">
        <w:rPr>
          <w:rFonts w:ascii="Calibri" w:hAnsi="Calibri" w:cs="Calibri"/>
          <w:iCs/>
          <w:color w:val="000000"/>
          <w:sz w:val="22"/>
          <w:szCs w:val="22"/>
        </w:rPr>
        <w:t>Threaten the stability, efficient running, or viability of service delivery arrangements.</w:t>
      </w:r>
    </w:p>
    <w:p w14:paraId="581B0EDD" w14:textId="77777777" w:rsidR="00AB6A74" w:rsidRPr="00413332" w:rsidRDefault="00692A2E" w:rsidP="00183F26">
      <w:pPr>
        <w:pStyle w:val="NormalWeb"/>
        <w:numPr>
          <w:ilvl w:val="0"/>
          <w:numId w:val="4"/>
        </w:numPr>
        <w:rPr>
          <w:rFonts w:ascii="Calibri" w:hAnsi="Calibri" w:cs="Calibri"/>
          <w:iCs/>
          <w:color w:val="000000"/>
          <w:sz w:val="22"/>
          <w:szCs w:val="22"/>
        </w:rPr>
      </w:pPr>
      <w:r w:rsidRPr="00413332">
        <w:rPr>
          <w:rFonts w:ascii="Calibri" w:hAnsi="Calibri" w:cs="Calibri"/>
          <w:iCs/>
          <w:color w:val="000000"/>
          <w:sz w:val="22"/>
          <w:szCs w:val="22"/>
        </w:rPr>
        <w:t>Put at risk the good governance and financial health of the organisation.</w:t>
      </w:r>
    </w:p>
    <w:p w14:paraId="3366C487" w14:textId="69F0DB54" w:rsidR="00692A2E" w:rsidRPr="00413332" w:rsidRDefault="00692A2E" w:rsidP="00183F26">
      <w:pPr>
        <w:pStyle w:val="NormalWeb"/>
        <w:numPr>
          <w:ilvl w:val="0"/>
          <w:numId w:val="4"/>
        </w:numPr>
        <w:rPr>
          <w:rFonts w:ascii="Calibri" w:hAnsi="Calibri" w:cs="Calibri"/>
          <w:iCs/>
          <w:color w:val="000000"/>
          <w:sz w:val="22"/>
          <w:szCs w:val="22"/>
        </w:rPr>
      </w:pPr>
      <w:r w:rsidRPr="00413332">
        <w:rPr>
          <w:rFonts w:ascii="Calibri" w:hAnsi="Calibri" w:cs="Calibri"/>
          <w:iCs/>
          <w:color w:val="000000"/>
          <w:sz w:val="22"/>
          <w:szCs w:val="22"/>
        </w:rPr>
        <w:t>Bring the Registered Social Landlord (RSL) into disrepute or raise public or stakeholder concern about the RSL or the social housing sector.</w:t>
      </w:r>
    </w:p>
    <w:p w14:paraId="088E485C" w14:textId="2409C06F" w:rsidR="00692A2E" w:rsidRPr="00413332" w:rsidRDefault="00AB6A74" w:rsidP="00692A2E">
      <w:pPr>
        <w:pStyle w:val="NormalWeb"/>
        <w:ind w:left="720" w:hanging="720"/>
        <w:rPr>
          <w:rFonts w:ascii="Calibri" w:hAnsi="Calibri" w:cs="Calibri"/>
          <w:color w:val="000000"/>
          <w:sz w:val="22"/>
          <w:szCs w:val="22"/>
        </w:rPr>
      </w:pPr>
      <w:r w:rsidRPr="00413332">
        <w:rPr>
          <w:rFonts w:ascii="Calibri" w:hAnsi="Calibri" w:cs="Calibri"/>
          <w:color w:val="000000"/>
          <w:sz w:val="22"/>
          <w:szCs w:val="22"/>
        </w:rPr>
        <w:t>3</w:t>
      </w:r>
      <w:r w:rsidR="00692A2E" w:rsidRPr="00413332">
        <w:rPr>
          <w:rFonts w:ascii="Calibri" w:hAnsi="Calibri" w:cs="Calibri"/>
          <w:color w:val="000000"/>
          <w:sz w:val="22"/>
          <w:szCs w:val="22"/>
        </w:rPr>
        <w:t>.2</w:t>
      </w:r>
      <w:r w:rsidR="00692A2E" w:rsidRPr="00413332">
        <w:rPr>
          <w:rFonts w:ascii="Calibri" w:hAnsi="Calibri" w:cs="Calibri"/>
          <w:color w:val="000000"/>
          <w:sz w:val="22"/>
          <w:szCs w:val="22"/>
        </w:rPr>
        <w:tab/>
        <w:t>What is material, significant or exceptional will depend on the nature of the event and the particular RSL. Each RSL should therefore consider the risk and the potential impact on its organisation when deciding whether an issue is a notifiable event.</w:t>
      </w:r>
    </w:p>
    <w:p w14:paraId="557AB8AD" w14:textId="5B66A4DE" w:rsidR="00692A2E" w:rsidRPr="00413332" w:rsidRDefault="00AB6A74" w:rsidP="00692A2E">
      <w:pPr>
        <w:pStyle w:val="NormalWeb"/>
        <w:ind w:left="720" w:hanging="720"/>
        <w:rPr>
          <w:rFonts w:ascii="Calibri" w:hAnsi="Calibri" w:cs="Calibri"/>
          <w:color w:val="000000"/>
          <w:sz w:val="22"/>
          <w:szCs w:val="22"/>
        </w:rPr>
      </w:pPr>
      <w:r w:rsidRPr="00413332">
        <w:rPr>
          <w:rFonts w:ascii="Calibri" w:hAnsi="Calibri" w:cs="Calibri"/>
          <w:color w:val="000000"/>
          <w:sz w:val="22"/>
          <w:szCs w:val="22"/>
        </w:rPr>
        <w:t>3</w:t>
      </w:r>
      <w:r w:rsidR="00692A2E" w:rsidRPr="00413332">
        <w:rPr>
          <w:rFonts w:ascii="Calibri" w:hAnsi="Calibri" w:cs="Calibri"/>
          <w:color w:val="000000"/>
          <w:sz w:val="22"/>
          <w:szCs w:val="22"/>
        </w:rPr>
        <w:t xml:space="preserve">.3 </w:t>
      </w:r>
      <w:r w:rsidR="00692A2E" w:rsidRPr="00413332">
        <w:rPr>
          <w:rFonts w:ascii="Calibri" w:hAnsi="Calibri" w:cs="Calibri"/>
          <w:color w:val="000000"/>
          <w:sz w:val="22"/>
          <w:szCs w:val="22"/>
        </w:rPr>
        <w:tab/>
        <w:t xml:space="preserve">The SHR’s Statutory Guidance sets out examples of the type of events </w:t>
      </w:r>
      <w:r w:rsidR="00183F26" w:rsidRPr="00413332">
        <w:rPr>
          <w:rFonts w:ascii="Calibri" w:hAnsi="Calibri" w:cs="Calibri"/>
          <w:color w:val="000000"/>
          <w:sz w:val="22"/>
          <w:szCs w:val="22"/>
        </w:rPr>
        <w:t>RSL’s</w:t>
      </w:r>
      <w:r w:rsidR="00692A2E" w:rsidRPr="00413332">
        <w:rPr>
          <w:rFonts w:ascii="Calibri" w:hAnsi="Calibri" w:cs="Calibri"/>
          <w:color w:val="000000"/>
          <w:sz w:val="22"/>
          <w:szCs w:val="22"/>
        </w:rPr>
        <w:t xml:space="preserve"> must advise the SHR of, which include:</w:t>
      </w:r>
    </w:p>
    <w:p w14:paraId="6A355D6A" w14:textId="77777777" w:rsidR="00AB6A74" w:rsidRPr="00413332" w:rsidRDefault="00692A2E" w:rsidP="00183F26">
      <w:pPr>
        <w:pStyle w:val="NormalWeb"/>
        <w:numPr>
          <w:ilvl w:val="0"/>
          <w:numId w:val="5"/>
        </w:numPr>
        <w:rPr>
          <w:rFonts w:ascii="Calibri" w:hAnsi="Calibri" w:cs="Calibri"/>
          <w:iCs/>
          <w:color w:val="000000"/>
          <w:sz w:val="22"/>
          <w:szCs w:val="22"/>
        </w:rPr>
      </w:pPr>
      <w:r w:rsidRPr="00413332">
        <w:rPr>
          <w:rFonts w:ascii="Calibri" w:hAnsi="Calibri" w:cs="Calibri"/>
          <w:iCs/>
          <w:color w:val="000000"/>
          <w:sz w:val="22"/>
          <w:szCs w:val="22"/>
        </w:rPr>
        <w:t>Governance and organisational issues.</w:t>
      </w:r>
    </w:p>
    <w:p w14:paraId="50128605" w14:textId="77777777" w:rsidR="00AB6A74" w:rsidRPr="00413332" w:rsidRDefault="00692A2E" w:rsidP="00183F26">
      <w:pPr>
        <w:pStyle w:val="NormalWeb"/>
        <w:numPr>
          <w:ilvl w:val="0"/>
          <w:numId w:val="5"/>
        </w:numPr>
        <w:rPr>
          <w:rFonts w:ascii="Calibri" w:hAnsi="Calibri" w:cs="Calibri"/>
          <w:iCs/>
          <w:color w:val="000000"/>
          <w:sz w:val="22"/>
          <w:szCs w:val="22"/>
        </w:rPr>
      </w:pPr>
      <w:r w:rsidRPr="00413332">
        <w:rPr>
          <w:rFonts w:ascii="Calibri" w:hAnsi="Calibri" w:cs="Calibri"/>
          <w:iCs/>
          <w:color w:val="000000"/>
          <w:sz w:val="22"/>
          <w:szCs w:val="22"/>
        </w:rPr>
        <w:t>Performance and service delivery issues.</w:t>
      </w:r>
    </w:p>
    <w:p w14:paraId="78966D8E" w14:textId="77777777" w:rsidR="00AB6A74" w:rsidRPr="00413332" w:rsidRDefault="00692A2E" w:rsidP="00183F26">
      <w:pPr>
        <w:pStyle w:val="NormalWeb"/>
        <w:numPr>
          <w:ilvl w:val="0"/>
          <w:numId w:val="5"/>
        </w:numPr>
        <w:rPr>
          <w:rFonts w:ascii="Calibri" w:hAnsi="Calibri" w:cs="Calibri"/>
          <w:iCs/>
          <w:color w:val="000000"/>
          <w:sz w:val="22"/>
          <w:szCs w:val="22"/>
        </w:rPr>
      </w:pPr>
      <w:r w:rsidRPr="00413332">
        <w:rPr>
          <w:rFonts w:ascii="Calibri" w:hAnsi="Calibri" w:cs="Calibri"/>
          <w:iCs/>
          <w:color w:val="000000"/>
          <w:sz w:val="22"/>
          <w:szCs w:val="22"/>
        </w:rPr>
        <w:t>Financial and funding issues.</w:t>
      </w:r>
    </w:p>
    <w:p w14:paraId="376B91E3" w14:textId="0B0414CA" w:rsidR="00692A2E" w:rsidRPr="00413332" w:rsidRDefault="00692A2E" w:rsidP="00183F26">
      <w:pPr>
        <w:pStyle w:val="NormalWeb"/>
        <w:numPr>
          <w:ilvl w:val="0"/>
          <w:numId w:val="5"/>
        </w:numPr>
        <w:rPr>
          <w:rFonts w:ascii="Calibri" w:hAnsi="Calibri" w:cs="Calibri"/>
          <w:iCs/>
          <w:color w:val="000000"/>
          <w:sz w:val="22"/>
          <w:szCs w:val="22"/>
        </w:rPr>
      </w:pPr>
      <w:r w:rsidRPr="00413332">
        <w:rPr>
          <w:rFonts w:ascii="Calibri" w:hAnsi="Calibri" w:cs="Calibri"/>
          <w:iCs/>
          <w:color w:val="000000"/>
          <w:sz w:val="22"/>
          <w:szCs w:val="22"/>
        </w:rPr>
        <w:lastRenderedPageBreak/>
        <w:t xml:space="preserve">Additional events that the SHR requires systematically important </w:t>
      </w:r>
      <w:r w:rsidR="00183F26" w:rsidRPr="00413332">
        <w:rPr>
          <w:rFonts w:ascii="Calibri" w:hAnsi="Calibri" w:cs="Calibri"/>
          <w:iCs/>
          <w:color w:val="000000"/>
          <w:sz w:val="22"/>
          <w:szCs w:val="22"/>
        </w:rPr>
        <w:t>RSL’s</w:t>
      </w:r>
      <w:r w:rsidRPr="00413332">
        <w:rPr>
          <w:rFonts w:ascii="Calibri" w:hAnsi="Calibri" w:cs="Calibri"/>
          <w:iCs/>
          <w:color w:val="000000"/>
          <w:sz w:val="22"/>
          <w:szCs w:val="22"/>
        </w:rPr>
        <w:t xml:space="preserve"> to notify them of.</w:t>
      </w:r>
    </w:p>
    <w:p w14:paraId="34C8853C" w14:textId="1C0F03FB" w:rsidR="00692A2E" w:rsidRPr="00413332" w:rsidRDefault="00AB6A74" w:rsidP="00692A2E">
      <w:pPr>
        <w:pStyle w:val="NormalWeb"/>
        <w:ind w:left="720" w:hanging="720"/>
        <w:rPr>
          <w:rFonts w:ascii="Calibri" w:hAnsi="Calibri" w:cs="Calibri"/>
          <w:color w:val="000000"/>
          <w:sz w:val="22"/>
          <w:szCs w:val="22"/>
        </w:rPr>
      </w:pPr>
      <w:r w:rsidRPr="00413332">
        <w:rPr>
          <w:rFonts w:ascii="Calibri" w:hAnsi="Calibri" w:cs="Calibri"/>
          <w:color w:val="000000"/>
          <w:sz w:val="22"/>
          <w:szCs w:val="22"/>
        </w:rPr>
        <w:t>3</w:t>
      </w:r>
      <w:r w:rsidR="00692A2E" w:rsidRPr="00413332">
        <w:rPr>
          <w:rFonts w:ascii="Calibri" w:hAnsi="Calibri" w:cs="Calibri"/>
          <w:color w:val="000000"/>
          <w:sz w:val="22"/>
          <w:szCs w:val="22"/>
        </w:rPr>
        <w:t>.4</w:t>
      </w:r>
      <w:r w:rsidR="00692A2E" w:rsidRPr="00413332">
        <w:rPr>
          <w:rFonts w:ascii="Calibri" w:hAnsi="Calibri" w:cs="Calibri"/>
          <w:color w:val="000000"/>
          <w:sz w:val="22"/>
          <w:szCs w:val="22"/>
        </w:rPr>
        <w:tab/>
      </w:r>
      <w:r w:rsidRPr="00413332">
        <w:rPr>
          <w:rFonts w:ascii="Calibri" w:hAnsi="Calibri" w:cs="Calibri"/>
          <w:color w:val="000000"/>
          <w:sz w:val="22"/>
          <w:szCs w:val="22"/>
        </w:rPr>
        <w:t xml:space="preserve">BHA </w:t>
      </w:r>
      <w:r w:rsidR="00692A2E" w:rsidRPr="00413332">
        <w:rPr>
          <w:rFonts w:ascii="Calibri" w:hAnsi="Calibri" w:cs="Calibri"/>
          <w:color w:val="000000"/>
          <w:sz w:val="22"/>
          <w:szCs w:val="22"/>
        </w:rPr>
        <w:t>will consider the impact of the issue or event on its compliance with the SHR’s Standards of Governance and Financial Management and other regulatory requirements, including compliance with our legal obligations. We will notify the SHR of any material changes to the assurance or supplementary information reported in our Annual Assurance Statement.</w:t>
      </w:r>
    </w:p>
    <w:p w14:paraId="16C8E7D3" w14:textId="5CB847A9" w:rsidR="00692A2E" w:rsidRPr="00413332" w:rsidRDefault="00AB6A74" w:rsidP="00692A2E">
      <w:pPr>
        <w:pStyle w:val="NormalWeb"/>
        <w:rPr>
          <w:rFonts w:ascii="Calibri" w:hAnsi="Calibri" w:cs="Calibri"/>
          <w:color w:val="000000"/>
          <w:sz w:val="22"/>
          <w:szCs w:val="22"/>
        </w:rPr>
      </w:pPr>
      <w:r w:rsidRPr="00413332">
        <w:rPr>
          <w:rFonts w:ascii="Calibri" w:hAnsi="Calibri" w:cs="Calibri"/>
          <w:color w:val="000000"/>
          <w:sz w:val="22"/>
          <w:szCs w:val="22"/>
        </w:rPr>
        <w:t>3</w:t>
      </w:r>
      <w:r w:rsidR="00692A2E" w:rsidRPr="00413332">
        <w:rPr>
          <w:rFonts w:ascii="Calibri" w:hAnsi="Calibri" w:cs="Calibri"/>
          <w:color w:val="000000"/>
          <w:sz w:val="22"/>
          <w:szCs w:val="22"/>
        </w:rPr>
        <w:t xml:space="preserve">.5 </w:t>
      </w:r>
      <w:r w:rsidR="00692A2E" w:rsidRPr="00413332">
        <w:rPr>
          <w:rFonts w:ascii="Calibri" w:hAnsi="Calibri" w:cs="Calibri"/>
          <w:color w:val="000000"/>
          <w:sz w:val="22"/>
          <w:szCs w:val="22"/>
        </w:rPr>
        <w:tab/>
      </w:r>
      <w:r w:rsidR="00692A2E" w:rsidRPr="00413332">
        <w:rPr>
          <w:rFonts w:ascii="Calibri" w:hAnsi="Calibri" w:cs="Calibri"/>
          <w:b/>
          <w:color w:val="000000"/>
          <w:sz w:val="22"/>
          <w:szCs w:val="22"/>
        </w:rPr>
        <w:t>Governance and Organisational Issues</w:t>
      </w:r>
    </w:p>
    <w:p w14:paraId="34723676" w14:textId="50C5F39D" w:rsidR="00692A2E" w:rsidRPr="00413332" w:rsidRDefault="00AB6A74" w:rsidP="00692A2E">
      <w:pPr>
        <w:pStyle w:val="NormalWeb"/>
        <w:ind w:firstLine="720"/>
        <w:rPr>
          <w:rFonts w:ascii="Calibri" w:hAnsi="Calibri" w:cs="Calibri"/>
          <w:color w:val="000000"/>
          <w:sz w:val="22"/>
          <w:szCs w:val="22"/>
        </w:rPr>
      </w:pPr>
      <w:r w:rsidRPr="00413332">
        <w:rPr>
          <w:rFonts w:ascii="Calibri" w:hAnsi="Calibri" w:cs="Calibri"/>
          <w:color w:val="000000"/>
          <w:sz w:val="22"/>
          <w:szCs w:val="22"/>
        </w:rPr>
        <w:t xml:space="preserve">BHA </w:t>
      </w:r>
      <w:r w:rsidR="00692A2E" w:rsidRPr="00413332">
        <w:rPr>
          <w:rFonts w:ascii="Calibri" w:hAnsi="Calibri" w:cs="Calibri"/>
          <w:color w:val="000000"/>
          <w:sz w:val="22"/>
          <w:szCs w:val="22"/>
        </w:rPr>
        <w:t>will notify the SHR of the following type of issues:</w:t>
      </w:r>
    </w:p>
    <w:p w14:paraId="1CA0182C" w14:textId="77777777" w:rsidR="00692A2E" w:rsidRPr="00413332" w:rsidRDefault="00692A2E" w:rsidP="00183F26">
      <w:pPr>
        <w:pStyle w:val="NormalWeb"/>
        <w:numPr>
          <w:ilvl w:val="0"/>
          <w:numId w:val="1"/>
        </w:numPr>
        <w:rPr>
          <w:rFonts w:ascii="Calibri" w:hAnsi="Calibri" w:cs="Calibri"/>
          <w:color w:val="000000"/>
          <w:sz w:val="22"/>
          <w:szCs w:val="22"/>
        </w:rPr>
      </w:pPr>
      <w:r w:rsidRPr="00413332">
        <w:rPr>
          <w:rFonts w:ascii="Calibri" w:hAnsi="Calibri" w:cs="Calibri"/>
          <w:color w:val="000000"/>
          <w:sz w:val="22"/>
          <w:szCs w:val="22"/>
        </w:rPr>
        <w:t>Any material change to the assurances and supplementary information contained in our Annual Assurance Statement.</w:t>
      </w:r>
    </w:p>
    <w:p w14:paraId="44CC1884" w14:textId="77777777" w:rsidR="00692A2E" w:rsidRPr="00413332" w:rsidRDefault="00692A2E" w:rsidP="00183F26">
      <w:pPr>
        <w:pStyle w:val="NormalWeb"/>
        <w:numPr>
          <w:ilvl w:val="0"/>
          <w:numId w:val="1"/>
        </w:numPr>
        <w:rPr>
          <w:rFonts w:ascii="Calibri" w:hAnsi="Calibri" w:cs="Calibri"/>
          <w:color w:val="000000"/>
          <w:sz w:val="22"/>
          <w:szCs w:val="22"/>
        </w:rPr>
      </w:pPr>
      <w:r w:rsidRPr="00413332">
        <w:rPr>
          <w:rFonts w:ascii="Calibri" w:hAnsi="Calibri" w:cs="Calibri"/>
          <w:color w:val="000000"/>
          <w:sz w:val="22"/>
          <w:szCs w:val="22"/>
        </w:rPr>
        <w:t>The membership calls a Special General Meeting.</w:t>
      </w:r>
    </w:p>
    <w:p w14:paraId="64D55332" w14:textId="15F00E0D" w:rsidR="00692A2E" w:rsidRPr="00413332" w:rsidRDefault="00692A2E" w:rsidP="00183F26">
      <w:pPr>
        <w:pStyle w:val="NormalWeb"/>
        <w:numPr>
          <w:ilvl w:val="0"/>
          <w:numId w:val="1"/>
        </w:numPr>
        <w:rPr>
          <w:rFonts w:ascii="Calibri" w:hAnsi="Calibri" w:cs="Calibri"/>
          <w:color w:val="000000"/>
          <w:sz w:val="22"/>
          <w:szCs w:val="22"/>
        </w:rPr>
      </w:pPr>
      <w:r w:rsidRPr="00413332">
        <w:rPr>
          <w:rFonts w:ascii="Calibri" w:hAnsi="Calibri" w:cs="Calibri"/>
          <w:color w:val="000000"/>
          <w:sz w:val="22"/>
          <w:szCs w:val="22"/>
        </w:rPr>
        <w:t xml:space="preserve">Removal of any governing body member by </w:t>
      </w:r>
      <w:r w:rsidR="00AB6A74" w:rsidRPr="00413332">
        <w:rPr>
          <w:rFonts w:ascii="Calibri" w:hAnsi="Calibri" w:cs="Calibri"/>
          <w:color w:val="000000"/>
          <w:sz w:val="22"/>
          <w:szCs w:val="22"/>
        </w:rPr>
        <w:t>B</w:t>
      </w:r>
      <w:r w:rsidRPr="00413332">
        <w:rPr>
          <w:rFonts w:ascii="Calibri" w:hAnsi="Calibri" w:cs="Calibri"/>
          <w:color w:val="000000"/>
          <w:sz w:val="22"/>
          <w:szCs w:val="22"/>
        </w:rPr>
        <w:t>HA.</w:t>
      </w:r>
    </w:p>
    <w:p w14:paraId="66E59DCC" w14:textId="77777777" w:rsidR="00692A2E" w:rsidRPr="00413332" w:rsidRDefault="00692A2E" w:rsidP="00183F26">
      <w:pPr>
        <w:pStyle w:val="NormalWeb"/>
        <w:numPr>
          <w:ilvl w:val="0"/>
          <w:numId w:val="1"/>
        </w:numPr>
        <w:rPr>
          <w:rFonts w:ascii="Calibri" w:hAnsi="Calibri" w:cs="Calibri"/>
          <w:color w:val="000000"/>
          <w:sz w:val="22"/>
          <w:szCs w:val="22"/>
        </w:rPr>
      </w:pPr>
      <w:r w:rsidRPr="00413332">
        <w:rPr>
          <w:rFonts w:ascii="Calibri" w:hAnsi="Calibri" w:cs="Calibri"/>
          <w:color w:val="000000"/>
          <w:sz w:val="22"/>
          <w:szCs w:val="22"/>
        </w:rPr>
        <w:t>Resignation of governing body members for non-personal reasons.</w:t>
      </w:r>
    </w:p>
    <w:p w14:paraId="11E385E3" w14:textId="77777777" w:rsidR="00692A2E" w:rsidRPr="00413332" w:rsidRDefault="00692A2E" w:rsidP="00183F26">
      <w:pPr>
        <w:pStyle w:val="NormalWeb"/>
        <w:numPr>
          <w:ilvl w:val="0"/>
          <w:numId w:val="1"/>
        </w:numPr>
        <w:rPr>
          <w:rFonts w:ascii="Calibri" w:hAnsi="Calibri" w:cs="Calibri"/>
          <w:color w:val="000000"/>
          <w:sz w:val="22"/>
          <w:szCs w:val="22"/>
        </w:rPr>
      </w:pPr>
      <w:r w:rsidRPr="00413332">
        <w:rPr>
          <w:rFonts w:ascii="Calibri" w:hAnsi="Calibri" w:cs="Calibri"/>
          <w:color w:val="000000"/>
          <w:sz w:val="22"/>
          <w:szCs w:val="22"/>
        </w:rPr>
        <w:t>The membership of the governing body falls, or is going to fall, to seven or below.</w:t>
      </w:r>
    </w:p>
    <w:p w14:paraId="609402B8" w14:textId="77777777" w:rsidR="00692A2E" w:rsidRPr="00413332" w:rsidRDefault="00692A2E" w:rsidP="00183F26">
      <w:pPr>
        <w:pStyle w:val="NormalWeb"/>
        <w:numPr>
          <w:ilvl w:val="0"/>
          <w:numId w:val="1"/>
        </w:numPr>
        <w:rPr>
          <w:rFonts w:ascii="Calibri" w:hAnsi="Calibri" w:cs="Calibri"/>
          <w:color w:val="000000"/>
          <w:sz w:val="22"/>
          <w:szCs w:val="22"/>
        </w:rPr>
      </w:pPr>
      <w:r w:rsidRPr="00413332">
        <w:rPr>
          <w:rFonts w:ascii="Calibri" w:hAnsi="Calibri" w:cs="Calibri"/>
          <w:color w:val="000000"/>
          <w:sz w:val="22"/>
          <w:szCs w:val="22"/>
        </w:rPr>
        <w:t>Serious complaint, allegation, investigation, or disciplinary action about a governing body member.</w:t>
      </w:r>
    </w:p>
    <w:p w14:paraId="293941F5" w14:textId="2EFD4690" w:rsidR="00692A2E" w:rsidRPr="00413332" w:rsidRDefault="00692A2E" w:rsidP="00183F26">
      <w:pPr>
        <w:pStyle w:val="NormalWeb"/>
        <w:numPr>
          <w:ilvl w:val="0"/>
          <w:numId w:val="1"/>
        </w:numPr>
        <w:rPr>
          <w:rFonts w:ascii="Calibri" w:hAnsi="Calibri" w:cs="Calibri"/>
          <w:color w:val="000000"/>
          <w:sz w:val="22"/>
          <w:szCs w:val="22"/>
        </w:rPr>
      </w:pPr>
      <w:r w:rsidRPr="00413332">
        <w:rPr>
          <w:rFonts w:ascii="Calibri" w:hAnsi="Calibri" w:cs="Calibri"/>
          <w:color w:val="000000"/>
          <w:sz w:val="22"/>
          <w:szCs w:val="22"/>
        </w:rPr>
        <w:t xml:space="preserve">A breach of the </w:t>
      </w:r>
      <w:r w:rsidR="00AB6A74" w:rsidRPr="00413332">
        <w:rPr>
          <w:rFonts w:ascii="Calibri" w:hAnsi="Calibri" w:cs="Calibri"/>
          <w:color w:val="000000"/>
          <w:sz w:val="22"/>
          <w:szCs w:val="22"/>
        </w:rPr>
        <w:t>Bridgewater</w:t>
      </w:r>
      <w:r w:rsidRPr="00413332">
        <w:rPr>
          <w:rFonts w:ascii="Calibri" w:hAnsi="Calibri" w:cs="Calibri"/>
          <w:color w:val="000000"/>
          <w:sz w:val="22"/>
          <w:szCs w:val="22"/>
        </w:rPr>
        <w:t xml:space="preserve"> Code of Conduct by governing body members.</w:t>
      </w:r>
    </w:p>
    <w:p w14:paraId="14A42A2D" w14:textId="007E3201" w:rsidR="00692A2E" w:rsidRPr="00413332" w:rsidRDefault="00692A2E" w:rsidP="00183F26">
      <w:pPr>
        <w:pStyle w:val="NormalWeb"/>
        <w:numPr>
          <w:ilvl w:val="0"/>
          <w:numId w:val="1"/>
        </w:numPr>
        <w:rPr>
          <w:rFonts w:ascii="Calibri" w:hAnsi="Calibri" w:cs="Calibri"/>
          <w:color w:val="000000"/>
          <w:sz w:val="22"/>
          <w:szCs w:val="22"/>
        </w:rPr>
      </w:pPr>
      <w:r w:rsidRPr="00413332">
        <w:rPr>
          <w:rFonts w:ascii="Calibri" w:hAnsi="Calibri" w:cs="Calibri"/>
          <w:color w:val="000000"/>
          <w:sz w:val="22"/>
          <w:szCs w:val="22"/>
        </w:rPr>
        <w:t xml:space="preserve">Resignation or dismissal of the </w:t>
      </w:r>
      <w:r w:rsidR="00AB6A74" w:rsidRPr="00413332">
        <w:rPr>
          <w:rFonts w:ascii="Calibri" w:hAnsi="Calibri" w:cs="Calibri"/>
          <w:color w:val="000000"/>
          <w:sz w:val="22"/>
          <w:szCs w:val="22"/>
        </w:rPr>
        <w:t>Bridgewater</w:t>
      </w:r>
      <w:r w:rsidRPr="00413332">
        <w:rPr>
          <w:rFonts w:ascii="Calibri" w:hAnsi="Calibri" w:cs="Calibri"/>
          <w:color w:val="000000"/>
          <w:sz w:val="22"/>
          <w:szCs w:val="22"/>
        </w:rPr>
        <w:t xml:space="preserve"> </w:t>
      </w:r>
      <w:r w:rsidR="00AB6A74" w:rsidRPr="00413332">
        <w:rPr>
          <w:rFonts w:ascii="Calibri" w:hAnsi="Calibri" w:cs="Calibri"/>
          <w:color w:val="000000"/>
          <w:sz w:val="22"/>
          <w:szCs w:val="22"/>
        </w:rPr>
        <w:t>CEO</w:t>
      </w:r>
      <w:r w:rsidRPr="00413332">
        <w:rPr>
          <w:rFonts w:ascii="Calibri" w:hAnsi="Calibri" w:cs="Calibri"/>
          <w:color w:val="000000"/>
          <w:sz w:val="22"/>
          <w:szCs w:val="22"/>
        </w:rPr>
        <w:t xml:space="preserve"> (Chief Officer).</w:t>
      </w:r>
    </w:p>
    <w:p w14:paraId="78F2AF79" w14:textId="77777777" w:rsidR="00692A2E" w:rsidRPr="00413332" w:rsidRDefault="00692A2E" w:rsidP="00183F26">
      <w:pPr>
        <w:pStyle w:val="NormalWeb"/>
        <w:numPr>
          <w:ilvl w:val="0"/>
          <w:numId w:val="1"/>
        </w:numPr>
        <w:rPr>
          <w:rFonts w:ascii="Calibri" w:hAnsi="Calibri" w:cs="Calibri"/>
          <w:color w:val="000000"/>
          <w:sz w:val="22"/>
          <w:szCs w:val="22"/>
        </w:rPr>
      </w:pPr>
      <w:r w:rsidRPr="00413332">
        <w:rPr>
          <w:rFonts w:ascii="Calibri" w:hAnsi="Calibri" w:cs="Calibri"/>
          <w:color w:val="000000"/>
          <w:sz w:val="22"/>
          <w:szCs w:val="22"/>
        </w:rPr>
        <w:t>Severance payment to and/or settlement agreement with a staff member.</w:t>
      </w:r>
    </w:p>
    <w:p w14:paraId="1142BED4" w14:textId="55D28A3A" w:rsidR="00692A2E" w:rsidRPr="00413332" w:rsidRDefault="00692A2E" w:rsidP="00183F26">
      <w:pPr>
        <w:pStyle w:val="NormalWeb"/>
        <w:numPr>
          <w:ilvl w:val="0"/>
          <w:numId w:val="1"/>
        </w:numPr>
        <w:rPr>
          <w:rFonts w:ascii="Calibri" w:hAnsi="Calibri" w:cs="Calibri"/>
          <w:color w:val="000000"/>
          <w:sz w:val="22"/>
          <w:szCs w:val="22"/>
        </w:rPr>
      </w:pPr>
      <w:r w:rsidRPr="00413332">
        <w:rPr>
          <w:rFonts w:ascii="Calibri" w:hAnsi="Calibri" w:cs="Calibri"/>
          <w:color w:val="000000"/>
          <w:sz w:val="22"/>
          <w:szCs w:val="22"/>
        </w:rPr>
        <w:t xml:space="preserve">Serious complaint, allegation, investigation, or disciplinary action about the </w:t>
      </w:r>
      <w:r w:rsidR="00AB6A74" w:rsidRPr="00413332">
        <w:rPr>
          <w:rFonts w:ascii="Calibri" w:hAnsi="Calibri" w:cs="Calibri"/>
          <w:color w:val="000000"/>
          <w:sz w:val="22"/>
          <w:szCs w:val="22"/>
        </w:rPr>
        <w:t>CEO (</w:t>
      </w:r>
      <w:r w:rsidRPr="00413332">
        <w:rPr>
          <w:rFonts w:ascii="Calibri" w:hAnsi="Calibri" w:cs="Calibri"/>
          <w:color w:val="000000"/>
          <w:sz w:val="22"/>
          <w:szCs w:val="22"/>
        </w:rPr>
        <w:t>Chief Officer</w:t>
      </w:r>
      <w:r w:rsidR="00AB6A74" w:rsidRPr="00413332">
        <w:rPr>
          <w:rFonts w:ascii="Calibri" w:hAnsi="Calibri" w:cs="Calibri"/>
          <w:color w:val="000000"/>
          <w:sz w:val="22"/>
          <w:szCs w:val="22"/>
        </w:rPr>
        <w:t>)</w:t>
      </w:r>
      <w:r w:rsidRPr="00413332">
        <w:rPr>
          <w:rFonts w:ascii="Calibri" w:hAnsi="Calibri" w:cs="Calibri"/>
          <w:color w:val="000000"/>
          <w:sz w:val="22"/>
          <w:szCs w:val="22"/>
        </w:rPr>
        <w:t>.</w:t>
      </w:r>
    </w:p>
    <w:p w14:paraId="489F86E2" w14:textId="16019B40" w:rsidR="00692A2E" w:rsidRPr="00413332" w:rsidRDefault="00692A2E" w:rsidP="00183F26">
      <w:pPr>
        <w:pStyle w:val="NormalWeb"/>
        <w:numPr>
          <w:ilvl w:val="0"/>
          <w:numId w:val="1"/>
        </w:numPr>
        <w:rPr>
          <w:rFonts w:ascii="Calibri" w:hAnsi="Calibri" w:cs="Calibri"/>
          <w:color w:val="000000"/>
          <w:sz w:val="22"/>
          <w:szCs w:val="22"/>
        </w:rPr>
      </w:pPr>
      <w:r w:rsidRPr="00413332">
        <w:rPr>
          <w:rFonts w:ascii="Calibri" w:hAnsi="Calibri" w:cs="Calibri"/>
          <w:color w:val="000000"/>
          <w:sz w:val="22"/>
          <w:szCs w:val="22"/>
        </w:rPr>
        <w:t xml:space="preserve">The </w:t>
      </w:r>
      <w:r w:rsidR="00AB6A74" w:rsidRPr="00413332">
        <w:rPr>
          <w:rFonts w:ascii="Calibri" w:hAnsi="Calibri" w:cs="Calibri"/>
          <w:color w:val="000000"/>
          <w:sz w:val="22"/>
          <w:szCs w:val="22"/>
        </w:rPr>
        <w:t>CEO</w:t>
      </w:r>
      <w:r w:rsidRPr="00413332">
        <w:rPr>
          <w:rFonts w:ascii="Calibri" w:hAnsi="Calibri" w:cs="Calibri"/>
          <w:color w:val="000000"/>
          <w:sz w:val="22"/>
          <w:szCs w:val="22"/>
        </w:rPr>
        <w:t xml:space="preserve"> is absent (or partially absent) for an extended period of time.</w:t>
      </w:r>
    </w:p>
    <w:p w14:paraId="2B066AF6" w14:textId="77777777" w:rsidR="00692A2E" w:rsidRPr="00413332" w:rsidRDefault="00692A2E" w:rsidP="00183F26">
      <w:pPr>
        <w:pStyle w:val="NormalWeb"/>
        <w:numPr>
          <w:ilvl w:val="0"/>
          <w:numId w:val="1"/>
        </w:numPr>
        <w:rPr>
          <w:rFonts w:ascii="Calibri" w:hAnsi="Calibri" w:cs="Calibri"/>
          <w:color w:val="000000"/>
          <w:sz w:val="22"/>
          <w:szCs w:val="22"/>
        </w:rPr>
      </w:pPr>
      <w:r w:rsidRPr="00413332">
        <w:rPr>
          <w:rFonts w:ascii="Calibri" w:hAnsi="Calibri" w:cs="Calibri"/>
          <w:color w:val="000000"/>
          <w:sz w:val="22"/>
          <w:szCs w:val="22"/>
        </w:rPr>
        <w:t>Receipt of intimation that a claim has been submitted to an employment tribunal.</w:t>
      </w:r>
    </w:p>
    <w:p w14:paraId="3042378F" w14:textId="77777777" w:rsidR="00692A2E" w:rsidRPr="00413332" w:rsidRDefault="00692A2E" w:rsidP="00183F26">
      <w:pPr>
        <w:pStyle w:val="NormalWeb"/>
        <w:numPr>
          <w:ilvl w:val="0"/>
          <w:numId w:val="1"/>
        </w:numPr>
        <w:rPr>
          <w:rFonts w:ascii="Calibri" w:hAnsi="Calibri" w:cs="Calibri"/>
          <w:color w:val="000000"/>
          <w:sz w:val="22"/>
          <w:szCs w:val="22"/>
        </w:rPr>
      </w:pPr>
      <w:r w:rsidRPr="00413332">
        <w:rPr>
          <w:rFonts w:ascii="Calibri" w:hAnsi="Calibri" w:cs="Calibri"/>
          <w:color w:val="000000"/>
          <w:sz w:val="22"/>
          <w:szCs w:val="22"/>
        </w:rPr>
        <w:t>Major change or restructuring within the current RSL or group.</w:t>
      </w:r>
    </w:p>
    <w:p w14:paraId="775A3AC5" w14:textId="77777777" w:rsidR="00692A2E" w:rsidRPr="00413332" w:rsidRDefault="00692A2E" w:rsidP="00183F26">
      <w:pPr>
        <w:pStyle w:val="NormalWeb"/>
        <w:numPr>
          <w:ilvl w:val="0"/>
          <w:numId w:val="1"/>
        </w:numPr>
        <w:rPr>
          <w:rFonts w:ascii="Calibri" w:hAnsi="Calibri" w:cs="Calibri"/>
          <w:color w:val="000000"/>
          <w:sz w:val="22"/>
          <w:szCs w:val="22"/>
        </w:rPr>
      </w:pPr>
      <w:r w:rsidRPr="00413332">
        <w:rPr>
          <w:rFonts w:ascii="Calibri" w:hAnsi="Calibri" w:cs="Calibri"/>
          <w:color w:val="000000"/>
          <w:sz w:val="22"/>
          <w:szCs w:val="22"/>
        </w:rPr>
        <w:t>Plans to set up a non-registered subsidiary.</w:t>
      </w:r>
    </w:p>
    <w:p w14:paraId="5B8D7EE4" w14:textId="5F594A6F" w:rsidR="00692A2E" w:rsidRPr="00413332" w:rsidRDefault="00692A2E" w:rsidP="00183F26">
      <w:pPr>
        <w:pStyle w:val="NormalWeb"/>
        <w:numPr>
          <w:ilvl w:val="0"/>
          <w:numId w:val="1"/>
        </w:numPr>
        <w:rPr>
          <w:rFonts w:ascii="Calibri" w:hAnsi="Calibri" w:cs="Calibri"/>
          <w:color w:val="000000"/>
          <w:sz w:val="22"/>
          <w:szCs w:val="22"/>
        </w:rPr>
      </w:pPr>
      <w:r w:rsidRPr="00413332">
        <w:rPr>
          <w:rFonts w:ascii="Calibri" w:hAnsi="Calibri" w:cs="Calibri"/>
          <w:color w:val="000000"/>
          <w:sz w:val="22"/>
          <w:szCs w:val="22"/>
        </w:rPr>
        <w:t xml:space="preserve">Potentially serious breaches of statutory or common law duties by </w:t>
      </w:r>
      <w:r w:rsidR="00AB6A74" w:rsidRPr="00413332">
        <w:rPr>
          <w:rFonts w:ascii="Calibri" w:hAnsi="Calibri" w:cs="Calibri"/>
          <w:color w:val="000000"/>
          <w:sz w:val="22"/>
          <w:szCs w:val="22"/>
        </w:rPr>
        <w:t>B</w:t>
      </w:r>
      <w:r w:rsidRPr="00413332">
        <w:rPr>
          <w:rFonts w:ascii="Calibri" w:hAnsi="Calibri" w:cs="Calibri"/>
          <w:color w:val="000000"/>
          <w:sz w:val="22"/>
          <w:szCs w:val="22"/>
        </w:rPr>
        <w:t>HA, including equalities and human rights duties, whether or not these have resulted in the submission of a claim or a legal challenge.</w:t>
      </w:r>
    </w:p>
    <w:p w14:paraId="5E49DD3F" w14:textId="70D387E0" w:rsidR="00692A2E" w:rsidRPr="00413332" w:rsidRDefault="00692A2E" w:rsidP="00183F26">
      <w:pPr>
        <w:pStyle w:val="NormalWeb"/>
        <w:numPr>
          <w:ilvl w:val="0"/>
          <w:numId w:val="1"/>
        </w:numPr>
        <w:rPr>
          <w:rFonts w:ascii="Calibri" w:hAnsi="Calibri" w:cs="Calibri"/>
          <w:color w:val="000000"/>
          <w:sz w:val="22"/>
          <w:szCs w:val="22"/>
        </w:rPr>
      </w:pPr>
      <w:r w:rsidRPr="00413332">
        <w:rPr>
          <w:rFonts w:ascii="Calibri" w:hAnsi="Calibri" w:cs="Calibri"/>
          <w:color w:val="000000"/>
          <w:sz w:val="22"/>
          <w:szCs w:val="22"/>
        </w:rPr>
        <w:t xml:space="preserve">Any legal proceedings taken against </w:t>
      </w:r>
      <w:r w:rsidR="00AB6A74" w:rsidRPr="00413332">
        <w:rPr>
          <w:rFonts w:ascii="Calibri" w:hAnsi="Calibri" w:cs="Calibri"/>
          <w:color w:val="000000"/>
          <w:sz w:val="22"/>
          <w:szCs w:val="22"/>
        </w:rPr>
        <w:t xml:space="preserve">BHA </w:t>
      </w:r>
      <w:r w:rsidRPr="00413332">
        <w:rPr>
          <w:rFonts w:ascii="Calibri" w:hAnsi="Calibri" w:cs="Calibri"/>
          <w:color w:val="000000"/>
          <w:sz w:val="22"/>
          <w:szCs w:val="22"/>
        </w:rPr>
        <w:t xml:space="preserve">which may have significant consequences for </w:t>
      </w:r>
      <w:r w:rsidR="00AB6A74" w:rsidRPr="00413332">
        <w:rPr>
          <w:rFonts w:ascii="Calibri" w:hAnsi="Calibri" w:cs="Calibri"/>
          <w:color w:val="000000"/>
          <w:sz w:val="22"/>
          <w:szCs w:val="22"/>
        </w:rPr>
        <w:t xml:space="preserve">BHA </w:t>
      </w:r>
      <w:r w:rsidRPr="00413332">
        <w:rPr>
          <w:rFonts w:ascii="Calibri" w:hAnsi="Calibri" w:cs="Calibri"/>
          <w:color w:val="000000"/>
          <w:sz w:val="22"/>
          <w:szCs w:val="22"/>
        </w:rPr>
        <w:t>in the event of success.</w:t>
      </w:r>
    </w:p>
    <w:p w14:paraId="52B9B3B8" w14:textId="77777777" w:rsidR="00692A2E" w:rsidRPr="00413332" w:rsidRDefault="00692A2E" w:rsidP="00183F26">
      <w:pPr>
        <w:pStyle w:val="NormalWeb"/>
        <w:numPr>
          <w:ilvl w:val="0"/>
          <w:numId w:val="1"/>
        </w:numPr>
        <w:rPr>
          <w:rFonts w:ascii="Calibri" w:hAnsi="Calibri" w:cs="Calibri"/>
          <w:color w:val="000000"/>
          <w:sz w:val="22"/>
          <w:szCs w:val="22"/>
        </w:rPr>
      </w:pPr>
      <w:r w:rsidRPr="00413332">
        <w:rPr>
          <w:rFonts w:ascii="Calibri" w:hAnsi="Calibri" w:cs="Calibri"/>
          <w:color w:val="000000"/>
          <w:sz w:val="22"/>
          <w:szCs w:val="22"/>
        </w:rPr>
        <w:t>Serious failure of governance within an RSL’s subsidiary.</w:t>
      </w:r>
    </w:p>
    <w:p w14:paraId="39308105" w14:textId="27B07C4F" w:rsidR="00692A2E" w:rsidRPr="00413332" w:rsidRDefault="00692A2E" w:rsidP="00183F26">
      <w:pPr>
        <w:pStyle w:val="NormalWeb"/>
        <w:numPr>
          <w:ilvl w:val="0"/>
          <w:numId w:val="1"/>
        </w:numPr>
        <w:rPr>
          <w:rFonts w:ascii="Calibri" w:hAnsi="Calibri" w:cs="Calibri"/>
          <w:color w:val="000000"/>
          <w:sz w:val="22"/>
          <w:szCs w:val="22"/>
        </w:rPr>
      </w:pPr>
      <w:r w:rsidRPr="00413332">
        <w:rPr>
          <w:rFonts w:ascii="Calibri" w:hAnsi="Calibri" w:cs="Calibri"/>
          <w:color w:val="000000"/>
          <w:sz w:val="22"/>
          <w:szCs w:val="22"/>
        </w:rPr>
        <w:t xml:space="preserve">Serious issue regarding a parent, </w:t>
      </w:r>
      <w:r w:rsidR="00183F26" w:rsidRPr="00413332">
        <w:rPr>
          <w:rFonts w:ascii="Calibri" w:hAnsi="Calibri" w:cs="Calibri"/>
          <w:color w:val="000000"/>
          <w:sz w:val="22"/>
          <w:szCs w:val="22"/>
        </w:rPr>
        <w:t>subsidiary,</w:t>
      </w:r>
      <w:r w:rsidRPr="00413332">
        <w:rPr>
          <w:rFonts w:ascii="Calibri" w:hAnsi="Calibri" w:cs="Calibri"/>
          <w:color w:val="000000"/>
          <w:sz w:val="22"/>
          <w:szCs w:val="22"/>
        </w:rPr>
        <w:t xml:space="preserve"> or connected organisation.</w:t>
      </w:r>
    </w:p>
    <w:p w14:paraId="14D27B3B" w14:textId="590FE7D4" w:rsidR="00692A2E" w:rsidRPr="00413332" w:rsidRDefault="00692A2E" w:rsidP="00183F26">
      <w:pPr>
        <w:pStyle w:val="NormalWeb"/>
        <w:numPr>
          <w:ilvl w:val="0"/>
          <w:numId w:val="1"/>
        </w:numPr>
        <w:rPr>
          <w:rFonts w:ascii="Calibri" w:hAnsi="Calibri" w:cs="Calibri"/>
          <w:color w:val="000000"/>
          <w:sz w:val="22"/>
          <w:szCs w:val="22"/>
        </w:rPr>
      </w:pPr>
      <w:r w:rsidRPr="00413332">
        <w:rPr>
          <w:rFonts w:ascii="Calibri" w:hAnsi="Calibri" w:cs="Calibri"/>
          <w:color w:val="000000"/>
          <w:sz w:val="22"/>
          <w:szCs w:val="22"/>
        </w:rPr>
        <w:t xml:space="preserve">A dispute with another member of an alliance, consortium or non-constitutional partnership which may have significant consequences for </w:t>
      </w:r>
      <w:r w:rsidR="00AB6A74" w:rsidRPr="00413332">
        <w:rPr>
          <w:rFonts w:ascii="Calibri" w:hAnsi="Calibri" w:cs="Calibri"/>
          <w:color w:val="000000"/>
          <w:sz w:val="22"/>
          <w:szCs w:val="22"/>
        </w:rPr>
        <w:t>B</w:t>
      </w:r>
      <w:r w:rsidRPr="00413332">
        <w:rPr>
          <w:rFonts w:ascii="Calibri" w:hAnsi="Calibri" w:cs="Calibri"/>
          <w:color w:val="000000"/>
          <w:sz w:val="22"/>
          <w:szCs w:val="22"/>
        </w:rPr>
        <w:t>HA.</w:t>
      </w:r>
    </w:p>
    <w:p w14:paraId="69CE34D0" w14:textId="77777777" w:rsidR="00692A2E" w:rsidRPr="00413332" w:rsidRDefault="00692A2E" w:rsidP="00183F26">
      <w:pPr>
        <w:pStyle w:val="NormalWeb"/>
        <w:numPr>
          <w:ilvl w:val="0"/>
          <w:numId w:val="1"/>
        </w:numPr>
        <w:rPr>
          <w:rFonts w:ascii="Calibri" w:hAnsi="Calibri" w:cs="Calibri"/>
          <w:color w:val="000000"/>
          <w:sz w:val="22"/>
          <w:szCs w:val="22"/>
        </w:rPr>
      </w:pPr>
      <w:r w:rsidRPr="00413332">
        <w:rPr>
          <w:rFonts w:ascii="Calibri" w:hAnsi="Calibri" w:cs="Calibri"/>
          <w:color w:val="000000"/>
          <w:sz w:val="22"/>
          <w:szCs w:val="22"/>
        </w:rPr>
        <w:t>Breaches of charitable obligations or no longer meeting the charity test.</w:t>
      </w:r>
    </w:p>
    <w:p w14:paraId="26CCFA1D" w14:textId="77777777" w:rsidR="00692A2E" w:rsidRPr="00413332" w:rsidRDefault="00692A2E" w:rsidP="00183F26">
      <w:pPr>
        <w:pStyle w:val="NormalWeb"/>
        <w:numPr>
          <w:ilvl w:val="0"/>
          <w:numId w:val="1"/>
        </w:numPr>
        <w:rPr>
          <w:rFonts w:ascii="Calibri" w:hAnsi="Calibri" w:cs="Calibri"/>
          <w:color w:val="000000"/>
          <w:sz w:val="22"/>
          <w:szCs w:val="22"/>
        </w:rPr>
      </w:pPr>
      <w:r w:rsidRPr="00413332">
        <w:rPr>
          <w:rFonts w:ascii="Calibri" w:hAnsi="Calibri" w:cs="Calibri"/>
          <w:color w:val="000000"/>
          <w:sz w:val="22"/>
          <w:szCs w:val="22"/>
        </w:rPr>
        <w:t>Whistleblowing allegations.</w:t>
      </w:r>
    </w:p>
    <w:p w14:paraId="20A3E941" w14:textId="1D48EEF5" w:rsidR="00692A2E" w:rsidRPr="00413332" w:rsidRDefault="00AB6A74" w:rsidP="00692A2E">
      <w:pPr>
        <w:pStyle w:val="NormalWeb"/>
        <w:rPr>
          <w:rFonts w:ascii="Calibri" w:hAnsi="Calibri" w:cs="Calibri"/>
          <w:color w:val="000000"/>
          <w:sz w:val="22"/>
          <w:szCs w:val="22"/>
        </w:rPr>
      </w:pPr>
      <w:r w:rsidRPr="00413332">
        <w:rPr>
          <w:rFonts w:ascii="Calibri" w:hAnsi="Calibri" w:cs="Calibri"/>
          <w:color w:val="000000"/>
          <w:sz w:val="22"/>
          <w:szCs w:val="22"/>
        </w:rPr>
        <w:t>3</w:t>
      </w:r>
      <w:r w:rsidR="00692A2E" w:rsidRPr="00413332">
        <w:rPr>
          <w:rFonts w:ascii="Calibri" w:hAnsi="Calibri" w:cs="Calibri"/>
          <w:color w:val="000000"/>
          <w:sz w:val="22"/>
          <w:szCs w:val="22"/>
        </w:rPr>
        <w:t xml:space="preserve">.6 </w:t>
      </w:r>
      <w:r w:rsidR="00692A2E" w:rsidRPr="00413332">
        <w:rPr>
          <w:rFonts w:ascii="Calibri" w:hAnsi="Calibri" w:cs="Calibri"/>
          <w:color w:val="000000"/>
          <w:sz w:val="22"/>
          <w:szCs w:val="22"/>
        </w:rPr>
        <w:tab/>
      </w:r>
      <w:r w:rsidR="00692A2E" w:rsidRPr="00413332">
        <w:rPr>
          <w:rFonts w:ascii="Calibri" w:hAnsi="Calibri" w:cs="Calibri"/>
          <w:b/>
          <w:color w:val="000000"/>
          <w:sz w:val="22"/>
          <w:szCs w:val="22"/>
        </w:rPr>
        <w:t>Performance and Service Delivery Issues</w:t>
      </w:r>
    </w:p>
    <w:p w14:paraId="4B38175D" w14:textId="5DE6706D" w:rsidR="00692A2E" w:rsidRPr="00413332" w:rsidRDefault="00AB6A74" w:rsidP="00D367EC">
      <w:pPr>
        <w:pStyle w:val="NormalWeb"/>
        <w:ind w:firstLine="720"/>
        <w:rPr>
          <w:rFonts w:ascii="Calibri" w:hAnsi="Calibri" w:cs="Calibri"/>
          <w:color w:val="000000"/>
          <w:sz w:val="22"/>
          <w:szCs w:val="22"/>
        </w:rPr>
      </w:pPr>
      <w:r w:rsidRPr="00413332">
        <w:rPr>
          <w:rFonts w:ascii="Calibri" w:hAnsi="Calibri" w:cs="Calibri"/>
          <w:color w:val="000000"/>
          <w:sz w:val="22"/>
          <w:szCs w:val="22"/>
        </w:rPr>
        <w:t xml:space="preserve">BHA </w:t>
      </w:r>
      <w:r w:rsidR="00692A2E" w:rsidRPr="00413332">
        <w:rPr>
          <w:rFonts w:ascii="Calibri" w:hAnsi="Calibri" w:cs="Calibri"/>
          <w:color w:val="000000"/>
          <w:sz w:val="22"/>
          <w:szCs w:val="22"/>
        </w:rPr>
        <w:t>will notify the SHR of the following type of issues:</w:t>
      </w:r>
    </w:p>
    <w:p w14:paraId="38B7B97F" w14:textId="77777777" w:rsidR="00AB6A74" w:rsidRPr="00413332" w:rsidRDefault="00692A2E" w:rsidP="00183F26">
      <w:pPr>
        <w:pStyle w:val="NormalWeb"/>
        <w:numPr>
          <w:ilvl w:val="0"/>
          <w:numId w:val="6"/>
        </w:numPr>
        <w:rPr>
          <w:rFonts w:ascii="Calibri" w:hAnsi="Calibri" w:cs="Calibri"/>
          <w:color w:val="000000"/>
          <w:sz w:val="22"/>
          <w:szCs w:val="22"/>
        </w:rPr>
      </w:pPr>
      <w:r w:rsidRPr="00413332">
        <w:rPr>
          <w:rFonts w:ascii="Calibri" w:hAnsi="Calibri" w:cs="Calibri"/>
          <w:color w:val="000000"/>
          <w:sz w:val="22"/>
          <w:szCs w:val="22"/>
        </w:rPr>
        <w:t xml:space="preserve">Any incident involving the Health &amp; Safety Executive or a serious threat to tenant safety; or where a regulatory or statutory authority, or insurance provider, has advised </w:t>
      </w:r>
      <w:r w:rsidR="00AB6A74" w:rsidRPr="00413332">
        <w:rPr>
          <w:rFonts w:ascii="Calibri" w:hAnsi="Calibri" w:cs="Calibri"/>
          <w:color w:val="000000"/>
          <w:sz w:val="22"/>
          <w:szCs w:val="22"/>
        </w:rPr>
        <w:t xml:space="preserve">BHA </w:t>
      </w:r>
      <w:r w:rsidRPr="00413332">
        <w:rPr>
          <w:rFonts w:ascii="Calibri" w:hAnsi="Calibri" w:cs="Calibri"/>
          <w:color w:val="000000"/>
          <w:sz w:val="22"/>
          <w:szCs w:val="22"/>
        </w:rPr>
        <w:t>of concerns, for example the Fire Brigade, etc.</w:t>
      </w:r>
    </w:p>
    <w:p w14:paraId="1F1634D2" w14:textId="77777777" w:rsidR="00AB6A74" w:rsidRPr="00413332" w:rsidRDefault="00692A2E" w:rsidP="00183F26">
      <w:pPr>
        <w:pStyle w:val="NormalWeb"/>
        <w:numPr>
          <w:ilvl w:val="0"/>
          <w:numId w:val="6"/>
        </w:numPr>
        <w:rPr>
          <w:rFonts w:ascii="Calibri" w:hAnsi="Calibri" w:cs="Calibri"/>
          <w:color w:val="000000"/>
          <w:sz w:val="22"/>
          <w:szCs w:val="22"/>
        </w:rPr>
      </w:pPr>
      <w:r w:rsidRPr="00413332">
        <w:rPr>
          <w:rFonts w:ascii="Calibri" w:hAnsi="Calibri" w:cs="Calibri"/>
          <w:color w:val="000000"/>
          <w:sz w:val="22"/>
          <w:szCs w:val="22"/>
        </w:rPr>
        <w:t>Serious accidental injury to, or the death of a tenant in their home or communal areas:</w:t>
      </w:r>
    </w:p>
    <w:p w14:paraId="170A8700" w14:textId="02407F00" w:rsidR="00AB6A74" w:rsidRPr="00413332" w:rsidRDefault="00692A2E" w:rsidP="00183F26">
      <w:pPr>
        <w:pStyle w:val="NormalWeb"/>
        <w:numPr>
          <w:ilvl w:val="0"/>
          <w:numId w:val="6"/>
        </w:numPr>
        <w:rPr>
          <w:rFonts w:ascii="Calibri" w:hAnsi="Calibri" w:cs="Calibri"/>
          <w:color w:val="000000"/>
          <w:sz w:val="22"/>
          <w:szCs w:val="22"/>
        </w:rPr>
      </w:pPr>
      <w:r w:rsidRPr="00413332">
        <w:rPr>
          <w:rFonts w:ascii="Calibri" w:hAnsi="Calibri" w:cs="Calibri"/>
          <w:color w:val="000000"/>
          <w:sz w:val="22"/>
          <w:szCs w:val="22"/>
        </w:rPr>
        <w:t xml:space="preserve">where there has been a service failure by </w:t>
      </w:r>
      <w:r w:rsidR="00D367EC" w:rsidRPr="00413332">
        <w:rPr>
          <w:rFonts w:ascii="Calibri" w:hAnsi="Calibri" w:cs="Calibri"/>
          <w:color w:val="000000"/>
          <w:sz w:val="22"/>
          <w:szCs w:val="22"/>
        </w:rPr>
        <w:t>B</w:t>
      </w:r>
      <w:r w:rsidRPr="00413332">
        <w:rPr>
          <w:rFonts w:ascii="Calibri" w:hAnsi="Calibri" w:cs="Calibri"/>
          <w:color w:val="000000"/>
          <w:sz w:val="22"/>
          <w:szCs w:val="22"/>
        </w:rPr>
        <w:t>HA; or</w:t>
      </w:r>
    </w:p>
    <w:p w14:paraId="0AD351CE" w14:textId="77777777" w:rsidR="00AB6A74" w:rsidRPr="00413332" w:rsidRDefault="00692A2E" w:rsidP="00183F26">
      <w:pPr>
        <w:pStyle w:val="NormalWeb"/>
        <w:numPr>
          <w:ilvl w:val="0"/>
          <w:numId w:val="6"/>
        </w:numPr>
        <w:rPr>
          <w:rFonts w:ascii="Calibri" w:hAnsi="Calibri" w:cs="Calibri"/>
          <w:color w:val="000000"/>
          <w:sz w:val="22"/>
          <w:szCs w:val="22"/>
        </w:rPr>
      </w:pPr>
      <w:r w:rsidRPr="00413332">
        <w:rPr>
          <w:rFonts w:ascii="Calibri" w:hAnsi="Calibri" w:cs="Calibri"/>
          <w:color w:val="000000"/>
          <w:sz w:val="22"/>
          <w:szCs w:val="22"/>
        </w:rPr>
        <w:t xml:space="preserve">where there has been a failure, or perceived failure, in how </w:t>
      </w:r>
      <w:r w:rsidR="00AB6A74" w:rsidRPr="00413332">
        <w:rPr>
          <w:rFonts w:ascii="Calibri" w:hAnsi="Calibri" w:cs="Calibri"/>
          <w:color w:val="000000"/>
          <w:sz w:val="22"/>
          <w:szCs w:val="22"/>
        </w:rPr>
        <w:t xml:space="preserve">BHA </w:t>
      </w:r>
      <w:r w:rsidRPr="00413332">
        <w:rPr>
          <w:rFonts w:ascii="Calibri" w:hAnsi="Calibri" w:cs="Calibri"/>
          <w:color w:val="000000"/>
          <w:sz w:val="22"/>
          <w:szCs w:val="22"/>
        </w:rPr>
        <w:t>has assessed and managed risk; or</w:t>
      </w:r>
    </w:p>
    <w:p w14:paraId="1093A31F" w14:textId="6BA3ED4B" w:rsidR="00692A2E" w:rsidRPr="00413332" w:rsidRDefault="00692A2E" w:rsidP="00183F26">
      <w:pPr>
        <w:pStyle w:val="NormalWeb"/>
        <w:numPr>
          <w:ilvl w:val="0"/>
          <w:numId w:val="6"/>
        </w:numPr>
        <w:rPr>
          <w:rFonts w:ascii="Calibri" w:hAnsi="Calibri" w:cs="Calibri"/>
          <w:color w:val="000000"/>
          <w:sz w:val="22"/>
          <w:szCs w:val="22"/>
        </w:rPr>
      </w:pPr>
      <w:r w:rsidRPr="00413332">
        <w:rPr>
          <w:rFonts w:ascii="Calibri" w:hAnsi="Calibri" w:cs="Calibri"/>
          <w:color w:val="000000"/>
          <w:sz w:val="22"/>
          <w:szCs w:val="22"/>
        </w:rPr>
        <w:lastRenderedPageBreak/>
        <w:t xml:space="preserve">which could potentially affect other tenants’ confidence in </w:t>
      </w:r>
      <w:r w:rsidR="00AB6A74" w:rsidRPr="00413332">
        <w:rPr>
          <w:rFonts w:ascii="Calibri" w:hAnsi="Calibri" w:cs="Calibri"/>
          <w:color w:val="000000"/>
          <w:sz w:val="22"/>
          <w:szCs w:val="22"/>
        </w:rPr>
        <w:t xml:space="preserve">BHA </w:t>
      </w:r>
      <w:r w:rsidRPr="00413332">
        <w:rPr>
          <w:rFonts w:ascii="Calibri" w:hAnsi="Calibri" w:cs="Calibri"/>
          <w:color w:val="000000"/>
          <w:sz w:val="22"/>
          <w:szCs w:val="22"/>
        </w:rPr>
        <w:t>or our reputation.</w:t>
      </w:r>
    </w:p>
    <w:p w14:paraId="0AE59D74" w14:textId="77777777" w:rsidR="00692A2E" w:rsidRPr="00413332" w:rsidRDefault="00692A2E" w:rsidP="00183F26">
      <w:pPr>
        <w:pStyle w:val="NormalWeb"/>
        <w:numPr>
          <w:ilvl w:val="0"/>
          <w:numId w:val="6"/>
        </w:numPr>
        <w:rPr>
          <w:rFonts w:ascii="Calibri" w:hAnsi="Calibri" w:cs="Calibri"/>
          <w:color w:val="000000"/>
          <w:sz w:val="22"/>
          <w:szCs w:val="22"/>
        </w:rPr>
      </w:pPr>
      <w:r w:rsidRPr="00413332">
        <w:rPr>
          <w:rFonts w:ascii="Calibri" w:hAnsi="Calibri" w:cs="Calibri"/>
          <w:color w:val="000000"/>
          <w:sz w:val="22"/>
          <w:szCs w:val="22"/>
        </w:rPr>
        <w:t>Major failure of key service delivery arrangements (for example, repairs cannot be carried out because a contractor goes into liquidation; impact of pandemics/epidemics/Government guidance on service delivery).</w:t>
      </w:r>
    </w:p>
    <w:p w14:paraId="25D61FAB" w14:textId="77777777" w:rsidR="00692A2E" w:rsidRPr="00413332" w:rsidRDefault="00692A2E" w:rsidP="00183F26">
      <w:pPr>
        <w:pStyle w:val="NormalWeb"/>
        <w:numPr>
          <w:ilvl w:val="0"/>
          <w:numId w:val="6"/>
        </w:numPr>
        <w:rPr>
          <w:rFonts w:ascii="Calibri" w:hAnsi="Calibri" w:cs="Calibri"/>
          <w:color w:val="000000"/>
          <w:sz w:val="22"/>
          <w:szCs w:val="22"/>
        </w:rPr>
      </w:pPr>
      <w:r w:rsidRPr="00413332">
        <w:rPr>
          <w:rFonts w:ascii="Calibri" w:hAnsi="Calibri" w:cs="Calibri"/>
          <w:color w:val="000000"/>
          <w:sz w:val="22"/>
          <w:szCs w:val="22"/>
        </w:rPr>
        <w:t>Breaches of ballot commitment to tenants or of any stock transfer contractual agreement.</w:t>
      </w:r>
    </w:p>
    <w:p w14:paraId="2289A343" w14:textId="4DF38214" w:rsidR="00692A2E" w:rsidRPr="00413332" w:rsidRDefault="00692A2E" w:rsidP="00183F26">
      <w:pPr>
        <w:pStyle w:val="NormalWeb"/>
        <w:numPr>
          <w:ilvl w:val="0"/>
          <w:numId w:val="6"/>
        </w:numPr>
        <w:rPr>
          <w:rFonts w:ascii="Calibri" w:hAnsi="Calibri" w:cs="Calibri"/>
          <w:color w:val="000000"/>
          <w:sz w:val="22"/>
          <w:szCs w:val="22"/>
        </w:rPr>
      </w:pPr>
      <w:r w:rsidRPr="00413332">
        <w:rPr>
          <w:rFonts w:ascii="Calibri" w:hAnsi="Calibri" w:cs="Calibri"/>
          <w:color w:val="000000"/>
          <w:sz w:val="22"/>
          <w:szCs w:val="22"/>
        </w:rPr>
        <w:t xml:space="preserve">Adverse reports by statutory agencies, regulators, inspectorates (or similar) about </w:t>
      </w:r>
      <w:r w:rsidR="00AB6A74" w:rsidRPr="00413332">
        <w:rPr>
          <w:rFonts w:ascii="Calibri" w:hAnsi="Calibri" w:cs="Calibri"/>
          <w:color w:val="000000"/>
          <w:sz w:val="22"/>
          <w:szCs w:val="22"/>
        </w:rPr>
        <w:t xml:space="preserve">BHA </w:t>
      </w:r>
      <w:r w:rsidRPr="00413332">
        <w:rPr>
          <w:rFonts w:ascii="Calibri" w:hAnsi="Calibri" w:cs="Calibri"/>
          <w:color w:val="000000"/>
          <w:sz w:val="22"/>
          <w:szCs w:val="22"/>
        </w:rPr>
        <w:t>(for example a Care Inspectorate report with a ‘weak’ or ‘unsatisfactory’ grade or an upheld Care Inspectorate complaint).</w:t>
      </w:r>
    </w:p>
    <w:p w14:paraId="15490767" w14:textId="738145D4" w:rsidR="00692A2E" w:rsidRPr="00413332" w:rsidRDefault="00692A2E" w:rsidP="00183F26">
      <w:pPr>
        <w:pStyle w:val="NormalWeb"/>
        <w:numPr>
          <w:ilvl w:val="0"/>
          <w:numId w:val="6"/>
        </w:numPr>
        <w:rPr>
          <w:rFonts w:ascii="Calibri" w:hAnsi="Calibri" w:cs="Calibri"/>
          <w:color w:val="000000"/>
          <w:sz w:val="22"/>
          <w:szCs w:val="22"/>
        </w:rPr>
      </w:pPr>
      <w:r w:rsidRPr="00413332">
        <w:rPr>
          <w:rFonts w:ascii="Calibri" w:hAnsi="Calibri" w:cs="Calibri"/>
          <w:color w:val="000000"/>
          <w:sz w:val="22"/>
          <w:szCs w:val="22"/>
        </w:rPr>
        <w:t xml:space="preserve">Any significant natural disaster for example, fire, flood or building collapse which affects </w:t>
      </w:r>
      <w:r w:rsidR="00D367EC" w:rsidRPr="00413332">
        <w:rPr>
          <w:rFonts w:ascii="Calibri" w:hAnsi="Calibri" w:cs="Calibri"/>
          <w:color w:val="000000"/>
          <w:sz w:val="22"/>
          <w:szCs w:val="22"/>
        </w:rPr>
        <w:t>B</w:t>
      </w:r>
      <w:r w:rsidRPr="00413332">
        <w:rPr>
          <w:rFonts w:ascii="Calibri" w:hAnsi="Calibri" w:cs="Calibri"/>
          <w:color w:val="000000"/>
          <w:sz w:val="22"/>
          <w:szCs w:val="22"/>
        </w:rPr>
        <w:t>HA’s normal business.</w:t>
      </w:r>
    </w:p>
    <w:p w14:paraId="2DADA787" w14:textId="3B7FAEA9" w:rsidR="00692A2E" w:rsidRPr="00413332" w:rsidRDefault="00692A2E" w:rsidP="00183F26">
      <w:pPr>
        <w:pStyle w:val="NormalWeb"/>
        <w:numPr>
          <w:ilvl w:val="0"/>
          <w:numId w:val="6"/>
        </w:numPr>
        <w:rPr>
          <w:rFonts w:ascii="Calibri" w:hAnsi="Calibri" w:cs="Calibri"/>
          <w:color w:val="000000"/>
          <w:sz w:val="22"/>
          <w:szCs w:val="22"/>
        </w:rPr>
      </w:pPr>
      <w:r w:rsidRPr="00413332">
        <w:rPr>
          <w:rFonts w:ascii="Calibri" w:hAnsi="Calibri" w:cs="Calibri"/>
          <w:color w:val="000000"/>
          <w:sz w:val="22"/>
          <w:szCs w:val="22"/>
        </w:rPr>
        <w:t xml:space="preserve">Serious or significant adverse media reports or social media interaction, which could potentially affect a tenants’ confidence in the RSL or that is damaging to the reputation of </w:t>
      </w:r>
      <w:r w:rsidR="00D367EC" w:rsidRPr="00413332">
        <w:rPr>
          <w:rFonts w:ascii="Calibri" w:hAnsi="Calibri" w:cs="Calibri"/>
          <w:color w:val="000000"/>
          <w:sz w:val="22"/>
          <w:szCs w:val="22"/>
        </w:rPr>
        <w:t>B</w:t>
      </w:r>
      <w:r w:rsidRPr="00413332">
        <w:rPr>
          <w:rFonts w:ascii="Calibri" w:hAnsi="Calibri" w:cs="Calibri"/>
          <w:color w:val="000000"/>
          <w:sz w:val="22"/>
          <w:szCs w:val="22"/>
        </w:rPr>
        <w:t>HA.</w:t>
      </w:r>
    </w:p>
    <w:p w14:paraId="7A00A6DA" w14:textId="03CDA16A" w:rsidR="00692A2E" w:rsidRPr="00413332" w:rsidRDefault="00D367EC" w:rsidP="00692A2E">
      <w:pPr>
        <w:pStyle w:val="NormalWeb"/>
        <w:rPr>
          <w:rFonts w:ascii="Calibri" w:hAnsi="Calibri" w:cs="Calibri"/>
          <w:b/>
          <w:color w:val="000000"/>
          <w:sz w:val="22"/>
          <w:szCs w:val="22"/>
        </w:rPr>
      </w:pPr>
      <w:r w:rsidRPr="00413332">
        <w:rPr>
          <w:rFonts w:ascii="Calibri" w:hAnsi="Calibri" w:cs="Calibri"/>
          <w:color w:val="000000"/>
          <w:sz w:val="22"/>
          <w:szCs w:val="22"/>
        </w:rPr>
        <w:t>3</w:t>
      </w:r>
      <w:r w:rsidR="00692A2E" w:rsidRPr="00413332">
        <w:rPr>
          <w:rFonts w:ascii="Calibri" w:hAnsi="Calibri" w:cs="Calibri"/>
          <w:color w:val="000000"/>
          <w:sz w:val="22"/>
          <w:szCs w:val="22"/>
        </w:rPr>
        <w:t xml:space="preserve">.7 </w:t>
      </w:r>
      <w:r w:rsidR="00692A2E" w:rsidRPr="00413332">
        <w:rPr>
          <w:rFonts w:ascii="Calibri" w:hAnsi="Calibri" w:cs="Calibri"/>
          <w:color w:val="000000"/>
          <w:sz w:val="22"/>
          <w:szCs w:val="22"/>
        </w:rPr>
        <w:tab/>
      </w:r>
      <w:r w:rsidR="00692A2E" w:rsidRPr="00413332">
        <w:rPr>
          <w:rFonts w:ascii="Calibri" w:hAnsi="Calibri" w:cs="Calibri"/>
          <w:b/>
          <w:color w:val="000000"/>
          <w:sz w:val="22"/>
          <w:szCs w:val="22"/>
        </w:rPr>
        <w:t>Financial and funding Issues</w:t>
      </w:r>
    </w:p>
    <w:p w14:paraId="060DFDF9" w14:textId="41DDB3DF" w:rsidR="00692A2E" w:rsidRPr="00413332" w:rsidRDefault="00AB6A74" w:rsidP="00692A2E">
      <w:pPr>
        <w:pStyle w:val="NormalWeb"/>
        <w:ind w:firstLine="720"/>
        <w:rPr>
          <w:rFonts w:ascii="Calibri" w:hAnsi="Calibri" w:cs="Calibri"/>
          <w:color w:val="000000"/>
          <w:sz w:val="22"/>
          <w:szCs w:val="22"/>
        </w:rPr>
      </w:pPr>
      <w:r w:rsidRPr="00413332">
        <w:rPr>
          <w:rFonts w:ascii="Calibri" w:hAnsi="Calibri" w:cs="Calibri"/>
          <w:color w:val="000000"/>
          <w:sz w:val="22"/>
          <w:szCs w:val="22"/>
        </w:rPr>
        <w:t xml:space="preserve">BHA </w:t>
      </w:r>
      <w:r w:rsidR="00692A2E" w:rsidRPr="00413332">
        <w:rPr>
          <w:rFonts w:ascii="Calibri" w:hAnsi="Calibri" w:cs="Calibri"/>
          <w:color w:val="000000"/>
          <w:sz w:val="22"/>
          <w:szCs w:val="22"/>
        </w:rPr>
        <w:t>will notify the SHR of the following type of issues:</w:t>
      </w:r>
    </w:p>
    <w:p w14:paraId="61D4E7D6" w14:textId="77777777" w:rsidR="00692A2E" w:rsidRPr="00413332" w:rsidRDefault="00692A2E" w:rsidP="00183F26">
      <w:pPr>
        <w:pStyle w:val="NormalWeb"/>
        <w:numPr>
          <w:ilvl w:val="0"/>
          <w:numId w:val="2"/>
        </w:numPr>
        <w:rPr>
          <w:rFonts w:ascii="Calibri" w:hAnsi="Calibri" w:cs="Calibri"/>
          <w:color w:val="000000"/>
          <w:sz w:val="22"/>
          <w:szCs w:val="22"/>
        </w:rPr>
      </w:pPr>
      <w:r w:rsidRPr="00413332">
        <w:rPr>
          <w:rFonts w:ascii="Calibri" w:hAnsi="Calibri" w:cs="Calibri"/>
          <w:color w:val="000000"/>
          <w:sz w:val="22"/>
          <w:szCs w:val="22"/>
        </w:rPr>
        <w:t>Fraud or the investigation of fraud either internally, by the Police or by an external agency or organisation.</w:t>
      </w:r>
    </w:p>
    <w:p w14:paraId="3FCEE74A" w14:textId="77777777" w:rsidR="00692A2E" w:rsidRPr="00413332" w:rsidRDefault="00692A2E" w:rsidP="00183F26">
      <w:pPr>
        <w:pStyle w:val="NormalWeb"/>
        <w:numPr>
          <w:ilvl w:val="0"/>
          <w:numId w:val="2"/>
        </w:numPr>
        <w:rPr>
          <w:rFonts w:ascii="Calibri" w:hAnsi="Calibri" w:cs="Calibri"/>
          <w:color w:val="000000"/>
          <w:sz w:val="22"/>
          <w:szCs w:val="22"/>
        </w:rPr>
      </w:pPr>
      <w:r w:rsidRPr="00413332">
        <w:rPr>
          <w:rFonts w:ascii="Calibri" w:hAnsi="Calibri" w:cs="Calibri"/>
          <w:color w:val="000000"/>
          <w:sz w:val="22"/>
          <w:szCs w:val="22"/>
        </w:rPr>
        <w:t>Breach or potential breach of any banking covenants.</w:t>
      </w:r>
    </w:p>
    <w:p w14:paraId="7F8BE6F5" w14:textId="77777777" w:rsidR="00692A2E" w:rsidRPr="00413332" w:rsidRDefault="00692A2E" w:rsidP="00183F26">
      <w:pPr>
        <w:pStyle w:val="NormalWeb"/>
        <w:numPr>
          <w:ilvl w:val="0"/>
          <w:numId w:val="2"/>
        </w:numPr>
        <w:rPr>
          <w:rFonts w:ascii="Calibri" w:hAnsi="Calibri" w:cs="Calibri"/>
          <w:color w:val="000000"/>
          <w:sz w:val="22"/>
          <w:szCs w:val="22"/>
        </w:rPr>
      </w:pPr>
      <w:r w:rsidRPr="00413332">
        <w:rPr>
          <w:rFonts w:ascii="Calibri" w:hAnsi="Calibri" w:cs="Calibri"/>
          <w:color w:val="000000"/>
          <w:sz w:val="22"/>
          <w:szCs w:val="22"/>
        </w:rPr>
        <w:t>Serious financial loss; actual or potential.</w:t>
      </w:r>
    </w:p>
    <w:p w14:paraId="3528467B" w14:textId="77777777" w:rsidR="00692A2E" w:rsidRPr="00413332" w:rsidRDefault="00692A2E" w:rsidP="00183F26">
      <w:pPr>
        <w:pStyle w:val="NormalWeb"/>
        <w:numPr>
          <w:ilvl w:val="0"/>
          <w:numId w:val="2"/>
        </w:numPr>
        <w:rPr>
          <w:rFonts w:ascii="Calibri" w:hAnsi="Calibri" w:cs="Calibri"/>
          <w:color w:val="000000"/>
          <w:sz w:val="22"/>
          <w:szCs w:val="22"/>
        </w:rPr>
      </w:pPr>
      <w:r w:rsidRPr="00413332">
        <w:rPr>
          <w:rFonts w:ascii="Calibri" w:hAnsi="Calibri" w:cs="Calibri"/>
          <w:color w:val="000000"/>
          <w:sz w:val="22"/>
          <w:szCs w:val="22"/>
        </w:rPr>
        <w:t>Default or financial difficulties of major suppliers or service providers.</w:t>
      </w:r>
    </w:p>
    <w:p w14:paraId="6524B1BA" w14:textId="77777777" w:rsidR="00692A2E" w:rsidRPr="00413332" w:rsidRDefault="00692A2E" w:rsidP="00183F26">
      <w:pPr>
        <w:pStyle w:val="NormalWeb"/>
        <w:numPr>
          <w:ilvl w:val="0"/>
          <w:numId w:val="2"/>
        </w:numPr>
        <w:rPr>
          <w:rFonts w:ascii="Calibri" w:hAnsi="Calibri" w:cs="Calibri"/>
          <w:color w:val="000000"/>
          <w:sz w:val="22"/>
          <w:szCs w:val="22"/>
        </w:rPr>
      </w:pPr>
      <w:r w:rsidRPr="00413332">
        <w:rPr>
          <w:rFonts w:ascii="Calibri" w:hAnsi="Calibri" w:cs="Calibri"/>
          <w:color w:val="000000"/>
          <w:sz w:val="22"/>
          <w:szCs w:val="22"/>
        </w:rPr>
        <w:t>Any material reduction in stock or asset values; actual or potential.</w:t>
      </w:r>
    </w:p>
    <w:p w14:paraId="4BC30CA1" w14:textId="77777777" w:rsidR="00692A2E" w:rsidRPr="00413332" w:rsidRDefault="00692A2E" w:rsidP="00183F26">
      <w:pPr>
        <w:pStyle w:val="NormalWeb"/>
        <w:numPr>
          <w:ilvl w:val="0"/>
          <w:numId w:val="2"/>
        </w:numPr>
        <w:rPr>
          <w:rFonts w:ascii="Calibri" w:hAnsi="Calibri" w:cs="Calibri"/>
          <w:color w:val="000000"/>
          <w:sz w:val="22"/>
          <w:szCs w:val="22"/>
        </w:rPr>
      </w:pPr>
      <w:r w:rsidRPr="00413332">
        <w:rPr>
          <w:rFonts w:ascii="Calibri" w:hAnsi="Calibri" w:cs="Calibri"/>
          <w:color w:val="000000"/>
          <w:sz w:val="22"/>
          <w:szCs w:val="22"/>
        </w:rPr>
        <w:t>Serious concern raised by lenders or auditors.</w:t>
      </w:r>
    </w:p>
    <w:p w14:paraId="14C85116" w14:textId="77777777" w:rsidR="00692A2E" w:rsidRPr="00413332" w:rsidRDefault="00692A2E" w:rsidP="00183F26">
      <w:pPr>
        <w:pStyle w:val="NormalWeb"/>
        <w:numPr>
          <w:ilvl w:val="0"/>
          <w:numId w:val="2"/>
        </w:numPr>
        <w:rPr>
          <w:rFonts w:ascii="Calibri" w:hAnsi="Calibri" w:cs="Calibri"/>
          <w:color w:val="000000"/>
          <w:sz w:val="22"/>
          <w:szCs w:val="22"/>
        </w:rPr>
      </w:pPr>
      <w:r w:rsidRPr="00413332">
        <w:rPr>
          <w:rFonts w:ascii="Calibri" w:hAnsi="Calibri" w:cs="Calibri"/>
          <w:color w:val="000000"/>
          <w:sz w:val="22"/>
          <w:szCs w:val="22"/>
        </w:rPr>
        <w:t>Serious and imminent potential cash flow issue.</w:t>
      </w:r>
    </w:p>
    <w:p w14:paraId="63DB6F3D" w14:textId="77777777" w:rsidR="00692A2E" w:rsidRPr="00413332" w:rsidRDefault="00692A2E" w:rsidP="00183F26">
      <w:pPr>
        <w:pStyle w:val="NormalWeb"/>
        <w:numPr>
          <w:ilvl w:val="0"/>
          <w:numId w:val="2"/>
        </w:numPr>
        <w:rPr>
          <w:rFonts w:ascii="Calibri" w:hAnsi="Calibri" w:cs="Calibri"/>
          <w:color w:val="000000"/>
          <w:sz w:val="22"/>
          <w:szCs w:val="22"/>
        </w:rPr>
      </w:pPr>
      <w:r w:rsidRPr="00413332">
        <w:rPr>
          <w:rFonts w:ascii="Calibri" w:hAnsi="Calibri" w:cs="Calibri"/>
          <w:color w:val="000000"/>
          <w:sz w:val="22"/>
          <w:szCs w:val="22"/>
        </w:rPr>
        <w:t>Proposed assignation or transfer of the existing lender’s security to another lender.</w:t>
      </w:r>
    </w:p>
    <w:p w14:paraId="7447647A" w14:textId="0C20504F" w:rsidR="00692A2E" w:rsidRPr="00413332" w:rsidRDefault="00692A2E" w:rsidP="00183F26">
      <w:pPr>
        <w:pStyle w:val="NormalWeb"/>
        <w:numPr>
          <w:ilvl w:val="0"/>
          <w:numId w:val="2"/>
        </w:numPr>
        <w:rPr>
          <w:rFonts w:ascii="Calibri" w:hAnsi="Calibri" w:cs="Calibri"/>
          <w:color w:val="000000"/>
          <w:sz w:val="22"/>
          <w:szCs w:val="22"/>
        </w:rPr>
      </w:pPr>
      <w:r w:rsidRPr="00413332">
        <w:rPr>
          <w:rFonts w:ascii="Calibri" w:hAnsi="Calibri" w:cs="Calibri"/>
          <w:color w:val="000000"/>
          <w:sz w:val="22"/>
          <w:szCs w:val="22"/>
        </w:rPr>
        <w:t xml:space="preserve">Notification of the outcome of an adverse financial assessment of </w:t>
      </w:r>
      <w:r w:rsidR="00AB6A74" w:rsidRPr="00413332">
        <w:rPr>
          <w:rFonts w:ascii="Calibri" w:hAnsi="Calibri" w:cs="Calibri"/>
          <w:color w:val="000000"/>
          <w:sz w:val="22"/>
          <w:szCs w:val="22"/>
        </w:rPr>
        <w:t xml:space="preserve">BHA </w:t>
      </w:r>
      <w:r w:rsidRPr="00413332">
        <w:rPr>
          <w:rFonts w:ascii="Calibri" w:hAnsi="Calibri" w:cs="Calibri"/>
          <w:color w:val="000000"/>
          <w:sz w:val="22"/>
          <w:szCs w:val="22"/>
        </w:rPr>
        <w:t>or its parent/subsidiaries/related companies/connected bodies from Pensions Trustees.</w:t>
      </w:r>
    </w:p>
    <w:p w14:paraId="71E69D0B" w14:textId="66E22A61" w:rsidR="00692A2E" w:rsidRPr="00413332" w:rsidRDefault="00692A2E" w:rsidP="00183F26">
      <w:pPr>
        <w:pStyle w:val="NormalWeb"/>
        <w:numPr>
          <w:ilvl w:val="0"/>
          <w:numId w:val="2"/>
        </w:numPr>
        <w:rPr>
          <w:rFonts w:ascii="Calibri" w:hAnsi="Calibri" w:cs="Calibri"/>
          <w:color w:val="000000"/>
          <w:sz w:val="22"/>
          <w:szCs w:val="22"/>
        </w:rPr>
      </w:pPr>
      <w:r w:rsidRPr="00413332">
        <w:rPr>
          <w:rFonts w:ascii="Calibri" w:hAnsi="Calibri" w:cs="Calibri"/>
          <w:color w:val="000000"/>
          <w:sz w:val="22"/>
          <w:szCs w:val="22"/>
        </w:rPr>
        <w:t xml:space="preserve">A serious or material reduction in the funding for care and support services for example for </w:t>
      </w:r>
      <w:r w:rsidR="00183F26" w:rsidRPr="00413332">
        <w:rPr>
          <w:rFonts w:ascii="Calibri" w:hAnsi="Calibri" w:cs="Calibri"/>
          <w:color w:val="000000"/>
          <w:sz w:val="22"/>
          <w:szCs w:val="22"/>
        </w:rPr>
        <w:t>RSL’s</w:t>
      </w:r>
      <w:r w:rsidRPr="00413332">
        <w:rPr>
          <w:rFonts w:ascii="Calibri" w:hAnsi="Calibri" w:cs="Calibri"/>
          <w:color w:val="000000"/>
          <w:sz w:val="22"/>
          <w:szCs w:val="22"/>
        </w:rPr>
        <w:t xml:space="preserve"> with significant care elements in their business, where a local authority withdraws funding.</w:t>
      </w:r>
    </w:p>
    <w:p w14:paraId="3723B199" w14:textId="77777777" w:rsidR="00692A2E" w:rsidRPr="00413332" w:rsidRDefault="00692A2E" w:rsidP="00183F26">
      <w:pPr>
        <w:pStyle w:val="NormalWeb"/>
        <w:numPr>
          <w:ilvl w:val="0"/>
          <w:numId w:val="2"/>
        </w:numPr>
        <w:rPr>
          <w:rFonts w:ascii="Calibri" w:hAnsi="Calibri" w:cs="Calibri"/>
          <w:color w:val="000000"/>
          <w:sz w:val="22"/>
          <w:szCs w:val="22"/>
        </w:rPr>
      </w:pPr>
      <w:r w:rsidRPr="00413332">
        <w:rPr>
          <w:rFonts w:ascii="Calibri" w:hAnsi="Calibri" w:cs="Calibri"/>
          <w:color w:val="000000"/>
          <w:sz w:val="22"/>
          <w:szCs w:val="22"/>
        </w:rPr>
        <w:t>Change of internal or external auditor.</w:t>
      </w:r>
    </w:p>
    <w:p w14:paraId="26DA4E2E" w14:textId="77777777" w:rsidR="00D367EC" w:rsidRPr="00413332" w:rsidRDefault="00D367EC" w:rsidP="00692A2E">
      <w:pPr>
        <w:pStyle w:val="NormalWeb"/>
        <w:ind w:left="720" w:hanging="720"/>
        <w:rPr>
          <w:rFonts w:ascii="Calibri" w:hAnsi="Calibri" w:cs="Calibri"/>
          <w:color w:val="000000"/>
          <w:sz w:val="22"/>
          <w:szCs w:val="22"/>
        </w:rPr>
      </w:pPr>
    </w:p>
    <w:p w14:paraId="6D98F01F" w14:textId="0E749E59" w:rsidR="00692A2E" w:rsidRPr="00413332" w:rsidRDefault="00D367EC" w:rsidP="00692A2E">
      <w:pPr>
        <w:pStyle w:val="NormalWeb"/>
        <w:ind w:left="720" w:hanging="720"/>
        <w:rPr>
          <w:rFonts w:ascii="Calibri" w:hAnsi="Calibri" w:cs="Calibri"/>
          <w:color w:val="000000"/>
          <w:sz w:val="22"/>
          <w:szCs w:val="22"/>
        </w:rPr>
      </w:pPr>
      <w:r w:rsidRPr="00413332">
        <w:rPr>
          <w:rFonts w:ascii="Calibri" w:hAnsi="Calibri" w:cs="Calibri"/>
          <w:color w:val="000000"/>
          <w:sz w:val="22"/>
          <w:szCs w:val="22"/>
        </w:rPr>
        <w:t>3</w:t>
      </w:r>
      <w:r w:rsidR="00692A2E" w:rsidRPr="00413332">
        <w:rPr>
          <w:rFonts w:ascii="Calibri" w:hAnsi="Calibri" w:cs="Calibri"/>
          <w:color w:val="000000"/>
          <w:sz w:val="22"/>
          <w:szCs w:val="22"/>
        </w:rPr>
        <w:t xml:space="preserve">.8 </w:t>
      </w:r>
      <w:r w:rsidR="00692A2E" w:rsidRPr="00413332">
        <w:rPr>
          <w:rFonts w:ascii="Calibri" w:hAnsi="Calibri" w:cs="Calibri"/>
          <w:color w:val="000000"/>
          <w:sz w:val="22"/>
          <w:szCs w:val="22"/>
        </w:rPr>
        <w:tab/>
      </w:r>
      <w:r w:rsidR="00692A2E" w:rsidRPr="00413332">
        <w:rPr>
          <w:rFonts w:ascii="Calibri" w:hAnsi="Calibri" w:cs="Calibri"/>
          <w:b/>
          <w:color w:val="000000"/>
          <w:sz w:val="22"/>
          <w:szCs w:val="22"/>
        </w:rPr>
        <w:t xml:space="preserve">Additional issues that systemically important </w:t>
      </w:r>
      <w:r w:rsidR="00183F26" w:rsidRPr="00413332">
        <w:rPr>
          <w:rFonts w:ascii="Calibri" w:hAnsi="Calibri" w:cs="Calibri"/>
          <w:b/>
          <w:color w:val="000000"/>
          <w:sz w:val="22"/>
          <w:szCs w:val="22"/>
        </w:rPr>
        <w:t>RSL’s</w:t>
      </w:r>
      <w:r w:rsidR="00692A2E" w:rsidRPr="00413332">
        <w:rPr>
          <w:rFonts w:ascii="Calibri" w:hAnsi="Calibri" w:cs="Calibri"/>
          <w:b/>
          <w:color w:val="000000"/>
          <w:sz w:val="22"/>
          <w:szCs w:val="22"/>
        </w:rPr>
        <w:t xml:space="preserve"> have to provide notification of</w:t>
      </w:r>
    </w:p>
    <w:p w14:paraId="1F40D82A" w14:textId="52B33F01" w:rsidR="00692A2E" w:rsidRPr="00413332" w:rsidRDefault="00AB6A74" w:rsidP="00692A2E">
      <w:pPr>
        <w:pStyle w:val="NormalWeb"/>
        <w:ind w:left="720"/>
        <w:rPr>
          <w:rFonts w:ascii="Calibri" w:hAnsi="Calibri" w:cs="Calibri"/>
          <w:color w:val="000000"/>
          <w:sz w:val="22"/>
          <w:szCs w:val="22"/>
        </w:rPr>
      </w:pPr>
      <w:r w:rsidRPr="00413332">
        <w:rPr>
          <w:rFonts w:ascii="Calibri" w:hAnsi="Calibri" w:cs="Calibri"/>
          <w:color w:val="000000"/>
          <w:sz w:val="22"/>
          <w:szCs w:val="22"/>
        </w:rPr>
        <w:t xml:space="preserve">BHA </w:t>
      </w:r>
      <w:r w:rsidR="00692A2E" w:rsidRPr="00413332">
        <w:rPr>
          <w:rFonts w:ascii="Calibri" w:hAnsi="Calibri" w:cs="Calibri"/>
          <w:color w:val="000000"/>
          <w:sz w:val="22"/>
          <w:szCs w:val="22"/>
        </w:rPr>
        <w:t xml:space="preserve">is not currently regarded as a systemically important RSL, but for those organisations they must provide notification of - </w:t>
      </w:r>
    </w:p>
    <w:p w14:paraId="15B18353" w14:textId="77777777" w:rsidR="00692A2E" w:rsidRPr="00413332" w:rsidRDefault="00692A2E" w:rsidP="00183F26">
      <w:pPr>
        <w:pStyle w:val="NormalWeb"/>
        <w:numPr>
          <w:ilvl w:val="0"/>
          <w:numId w:val="2"/>
        </w:numPr>
        <w:rPr>
          <w:rFonts w:ascii="Calibri" w:hAnsi="Calibri" w:cs="Calibri"/>
          <w:color w:val="000000"/>
          <w:sz w:val="22"/>
          <w:szCs w:val="22"/>
        </w:rPr>
      </w:pPr>
      <w:r w:rsidRPr="00413332">
        <w:rPr>
          <w:rFonts w:ascii="Calibri" w:hAnsi="Calibri" w:cs="Calibri"/>
          <w:color w:val="000000"/>
          <w:sz w:val="22"/>
          <w:szCs w:val="22"/>
        </w:rPr>
        <w:t>Any change in senior staff.</w:t>
      </w:r>
    </w:p>
    <w:p w14:paraId="5607C63E" w14:textId="634B8CDD" w:rsidR="00692A2E" w:rsidRPr="00413332" w:rsidRDefault="00692A2E" w:rsidP="00183F26">
      <w:pPr>
        <w:pStyle w:val="NormalWeb"/>
        <w:numPr>
          <w:ilvl w:val="0"/>
          <w:numId w:val="2"/>
        </w:numPr>
        <w:rPr>
          <w:rFonts w:ascii="Calibri" w:hAnsi="Calibri" w:cs="Calibri"/>
          <w:color w:val="000000"/>
          <w:sz w:val="22"/>
          <w:szCs w:val="22"/>
        </w:rPr>
      </w:pPr>
      <w:r w:rsidRPr="00413332">
        <w:rPr>
          <w:rFonts w:ascii="Calibri" w:hAnsi="Calibri" w:cs="Calibri"/>
          <w:color w:val="000000"/>
          <w:sz w:val="22"/>
          <w:szCs w:val="22"/>
        </w:rPr>
        <w:t xml:space="preserve">Any material variation in the business plan or strategic direction of </w:t>
      </w:r>
      <w:r w:rsidR="00D367EC" w:rsidRPr="00413332">
        <w:rPr>
          <w:rFonts w:ascii="Calibri" w:hAnsi="Calibri" w:cs="Calibri"/>
          <w:color w:val="000000"/>
          <w:sz w:val="22"/>
          <w:szCs w:val="22"/>
        </w:rPr>
        <w:t>B</w:t>
      </w:r>
      <w:r w:rsidRPr="00413332">
        <w:rPr>
          <w:rFonts w:ascii="Calibri" w:hAnsi="Calibri" w:cs="Calibri"/>
          <w:color w:val="000000"/>
          <w:sz w:val="22"/>
          <w:szCs w:val="22"/>
        </w:rPr>
        <w:t>HA.</w:t>
      </w:r>
    </w:p>
    <w:p w14:paraId="034D101E" w14:textId="77777777" w:rsidR="00692A2E" w:rsidRPr="00413332" w:rsidRDefault="00692A2E" w:rsidP="00183F26">
      <w:pPr>
        <w:pStyle w:val="NormalWeb"/>
        <w:numPr>
          <w:ilvl w:val="0"/>
          <w:numId w:val="2"/>
        </w:numPr>
        <w:rPr>
          <w:rFonts w:ascii="Calibri" w:hAnsi="Calibri" w:cs="Calibri"/>
          <w:color w:val="000000"/>
          <w:sz w:val="22"/>
          <w:szCs w:val="22"/>
        </w:rPr>
      </w:pPr>
      <w:r w:rsidRPr="00413332">
        <w:rPr>
          <w:rFonts w:ascii="Calibri" w:hAnsi="Calibri" w:cs="Calibri"/>
          <w:color w:val="000000"/>
          <w:sz w:val="22"/>
          <w:szCs w:val="22"/>
        </w:rPr>
        <w:t>Any problems in relationships with key stakeholders for example, local authority or funders.</w:t>
      </w:r>
    </w:p>
    <w:p w14:paraId="2B1230A6" w14:textId="77777777" w:rsidR="00692A2E" w:rsidRPr="00413332" w:rsidRDefault="00692A2E" w:rsidP="007170CD">
      <w:pPr>
        <w:spacing w:after="0" w:line="240" w:lineRule="auto"/>
        <w:ind w:right="-618"/>
        <w:jc w:val="both"/>
        <w:rPr>
          <w:rFonts w:ascii="Calibri" w:hAnsi="Calibri" w:cs="Calibri"/>
          <w:sz w:val="22"/>
        </w:rPr>
      </w:pPr>
    </w:p>
    <w:p w14:paraId="20655BC1" w14:textId="77777777" w:rsidR="00692A2E" w:rsidRPr="00413332" w:rsidRDefault="00692A2E" w:rsidP="007170CD">
      <w:pPr>
        <w:spacing w:after="0" w:line="240" w:lineRule="auto"/>
        <w:ind w:right="-618"/>
        <w:jc w:val="both"/>
        <w:rPr>
          <w:rFonts w:ascii="Calibri" w:hAnsi="Calibri" w:cs="Calibri"/>
          <w:sz w:val="22"/>
        </w:rPr>
      </w:pPr>
    </w:p>
    <w:p w14:paraId="769FD1BD" w14:textId="77777777" w:rsidR="00AB6A74" w:rsidRPr="00413332" w:rsidRDefault="00AB6A74" w:rsidP="007170CD">
      <w:pPr>
        <w:spacing w:after="0" w:line="240" w:lineRule="auto"/>
        <w:ind w:right="-618"/>
        <w:jc w:val="both"/>
        <w:rPr>
          <w:rFonts w:ascii="Calibri" w:hAnsi="Calibri" w:cs="Calibri"/>
          <w:sz w:val="22"/>
        </w:rPr>
      </w:pPr>
    </w:p>
    <w:p w14:paraId="2ACE96EA" w14:textId="77777777" w:rsidR="00AB6A74" w:rsidRPr="00413332" w:rsidRDefault="00AB6A74" w:rsidP="007170CD">
      <w:pPr>
        <w:spacing w:after="0" w:line="240" w:lineRule="auto"/>
        <w:ind w:right="-618"/>
        <w:jc w:val="both"/>
        <w:rPr>
          <w:rFonts w:ascii="Calibri" w:hAnsi="Calibri" w:cs="Calibri"/>
          <w:sz w:val="22"/>
        </w:rPr>
      </w:pPr>
    </w:p>
    <w:p w14:paraId="1FC80699" w14:textId="77777777" w:rsidR="00AB6A74" w:rsidRPr="00413332" w:rsidRDefault="00AB6A74" w:rsidP="007170CD">
      <w:pPr>
        <w:spacing w:after="0" w:line="240" w:lineRule="auto"/>
        <w:ind w:right="-618"/>
        <w:jc w:val="both"/>
        <w:rPr>
          <w:rFonts w:ascii="Calibri" w:hAnsi="Calibri" w:cs="Calibri"/>
          <w:sz w:val="22"/>
        </w:rPr>
      </w:pPr>
    </w:p>
    <w:p w14:paraId="5D0AB0FB" w14:textId="77777777" w:rsidR="00AB6A74" w:rsidRPr="00413332" w:rsidRDefault="00AB6A74" w:rsidP="007170CD">
      <w:pPr>
        <w:spacing w:after="0" w:line="240" w:lineRule="auto"/>
        <w:ind w:right="-618"/>
        <w:jc w:val="both"/>
        <w:rPr>
          <w:rFonts w:ascii="Calibri" w:hAnsi="Calibri" w:cs="Calibri"/>
          <w:sz w:val="22"/>
        </w:rPr>
      </w:pPr>
    </w:p>
    <w:p w14:paraId="3BE55CE7" w14:textId="77777777" w:rsidR="00AB6A74" w:rsidRPr="00413332" w:rsidRDefault="00AB6A74" w:rsidP="007170CD">
      <w:pPr>
        <w:spacing w:after="0" w:line="240" w:lineRule="auto"/>
        <w:ind w:right="-618"/>
        <w:jc w:val="both"/>
        <w:rPr>
          <w:rFonts w:ascii="Calibri" w:hAnsi="Calibri" w:cs="Calibri"/>
          <w:sz w:val="22"/>
        </w:rPr>
      </w:pPr>
    </w:p>
    <w:p w14:paraId="0758580C" w14:textId="77777777" w:rsidR="00AB6A74" w:rsidRPr="00413332" w:rsidRDefault="00AB6A74" w:rsidP="007170CD">
      <w:pPr>
        <w:spacing w:after="0" w:line="240" w:lineRule="auto"/>
        <w:ind w:right="-618"/>
        <w:jc w:val="both"/>
        <w:rPr>
          <w:rFonts w:ascii="Calibri" w:hAnsi="Calibri" w:cs="Calibri"/>
          <w:sz w:val="22"/>
        </w:rPr>
      </w:pPr>
    </w:p>
    <w:p w14:paraId="515C3D5E" w14:textId="77777777" w:rsidR="006D6638" w:rsidRPr="00413332" w:rsidRDefault="006D6638" w:rsidP="007170CD">
      <w:pPr>
        <w:spacing w:after="0" w:line="240" w:lineRule="auto"/>
        <w:ind w:left="-567" w:right="-618"/>
        <w:jc w:val="both"/>
        <w:rPr>
          <w:rFonts w:ascii="Calibri" w:hAnsi="Calibri" w:cs="Calibri"/>
          <w:sz w:val="22"/>
        </w:rPr>
      </w:pPr>
    </w:p>
    <w:p w14:paraId="5AAB1E75" w14:textId="644BA945" w:rsidR="006D6638" w:rsidRPr="00413332" w:rsidRDefault="00D367EC" w:rsidP="00D367EC">
      <w:pPr>
        <w:spacing w:after="0" w:line="240" w:lineRule="auto"/>
        <w:ind w:left="720" w:right="-618" w:hanging="720"/>
        <w:jc w:val="both"/>
        <w:rPr>
          <w:rFonts w:ascii="Calibri" w:hAnsi="Calibri" w:cs="Calibri"/>
          <w:sz w:val="22"/>
        </w:rPr>
      </w:pPr>
      <w:r w:rsidRPr="00413332">
        <w:rPr>
          <w:rFonts w:ascii="Calibri" w:hAnsi="Calibri" w:cs="Calibri"/>
          <w:sz w:val="22"/>
        </w:rPr>
        <w:t>3.9</w:t>
      </w:r>
      <w:r w:rsidRPr="00413332">
        <w:rPr>
          <w:rFonts w:ascii="Calibri" w:hAnsi="Calibri" w:cs="Calibri"/>
          <w:sz w:val="22"/>
        </w:rPr>
        <w:tab/>
      </w:r>
      <w:r w:rsidR="006D6638" w:rsidRPr="00413332">
        <w:rPr>
          <w:rFonts w:ascii="Calibri" w:hAnsi="Calibri" w:cs="Calibri"/>
          <w:sz w:val="22"/>
        </w:rPr>
        <w:t xml:space="preserve">The SHR acknowledges that the term “serious” or “significant” is difficult to define in a way that applies to all </w:t>
      </w:r>
      <w:r w:rsidRPr="00413332">
        <w:rPr>
          <w:rFonts w:ascii="Calibri" w:hAnsi="Calibri" w:cs="Calibri"/>
          <w:sz w:val="22"/>
        </w:rPr>
        <w:t>RSL’s</w:t>
      </w:r>
      <w:r w:rsidR="006D6638" w:rsidRPr="00413332">
        <w:rPr>
          <w:rFonts w:ascii="Calibri" w:hAnsi="Calibri" w:cs="Calibri"/>
          <w:sz w:val="22"/>
        </w:rPr>
        <w:t>.  It is appreciated that whether an event is serious or significant may depend on factors such as the size or complexity of the organisation.  Consequently, the SHR expects each RSL to consider the risk and potential impact on the organisation when deciding whether an issue is a notifiable event or not.  If staff are unsure whether an event is notifiable, they will contact the SHR for advice.</w:t>
      </w:r>
    </w:p>
    <w:p w14:paraId="229A0918" w14:textId="77777777" w:rsidR="00A8293E" w:rsidRPr="00413332" w:rsidRDefault="00A8293E" w:rsidP="008F475A">
      <w:pPr>
        <w:spacing w:after="0" w:line="240" w:lineRule="auto"/>
        <w:ind w:right="-618"/>
        <w:jc w:val="both"/>
        <w:rPr>
          <w:rFonts w:ascii="Calibri" w:hAnsi="Calibri" w:cs="Calibri"/>
          <w:sz w:val="22"/>
        </w:rPr>
      </w:pPr>
    </w:p>
    <w:p w14:paraId="28FADD3B" w14:textId="025F7C21" w:rsidR="00692A2E" w:rsidRPr="00413332" w:rsidRDefault="00D367EC" w:rsidP="00D367EC">
      <w:pPr>
        <w:pStyle w:val="Heading1"/>
        <w:rPr>
          <w:rFonts w:cs="Calibri"/>
          <w:lang w:eastAsia="en-GB"/>
        </w:rPr>
      </w:pPr>
      <w:r w:rsidRPr="00413332">
        <w:rPr>
          <w:rFonts w:cs="Calibri"/>
          <w:lang w:eastAsia="en-GB"/>
        </w:rPr>
        <w:t>4</w:t>
      </w:r>
      <w:r w:rsidR="00692A2E" w:rsidRPr="00413332">
        <w:rPr>
          <w:rFonts w:cs="Calibri"/>
          <w:lang w:eastAsia="en-GB"/>
        </w:rPr>
        <w:t>.</w:t>
      </w:r>
      <w:r w:rsidRPr="00413332">
        <w:rPr>
          <w:rFonts w:cs="Calibri"/>
          <w:lang w:eastAsia="en-GB"/>
        </w:rPr>
        <w:t xml:space="preserve"> </w:t>
      </w:r>
      <w:r w:rsidR="00692A2E" w:rsidRPr="00413332">
        <w:rPr>
          <w:rFonts w:cs="Calibri"/>
          <w:lang w:eastAsia="en-GB"/>
        </w:rPr>
        <w:t xml:space="preserve">HANDLING A SERIOUS COMPLAINT AGAINST THE </w:t>
      </w:r>
      <w:r w:rsidRPr="00413332">
        <w:rPr>
          <w:rFonts w:cs="Calibri"/>
          <w:lang w:eastAsia="en-GB"/>
        </w:rPr>
        <w:t>CEO</w:t>
      </w:r>
      <w:r w:rsidR="00692A2E" w:rsidRPr="00413332">
        <w:rPr>
          <w:rFonts w:cs="Calibri"/>
          <w:lang w:eastAsia="en-GB"/>
        </w:rPr>
        <w:t xml:space="preserve"> OR A</w:t>
      </w:r>
      <w:r w:rsidRPr="00413332">
        <w:rPr>
          <w:rFonts w:cs="Calibri"/>
          <w:lang w:eastAsia="en-GB"/>
        </w:rPr>
        <w:t xml:space="preserve"> </w:t>
      </w:r>
      <w:r w:rsidR="00692A2E" w:rsidRPr="00413332">
        <w:rPr>
          <w:rFonts w:cs="Calibri"/>
          <w:lang w:eastAsia="en-GB"/>
        </w:rPr>
        <w:t>GOVERNING BODY MEMBER</w:t>
      </w:r>
    </w:p>
    <w:p w14:paraId="3B05DA0E" w14:textId="04F88018" w:rsidR="00692A2E" w:rsidRPr="00413332" w:rsidRDefault="00D367EC" w:rsidP="00692A2E">
      <w:pPr>
        <w:spacing w:before="100" w:beforeAutospacing="1" w:after="100" w:afterAutospacing="1" w:line="240" w:lineRule="auto"/>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t>4</w:t>
      </w:r>
      <w:r w:rsidR="00692A2E" w:rsidRPr="00413332">
        <w:rPr>
          <w:rFonts w:ascii="Calibri" w:eastAsia="Times New Roman" w:hAnsi="Calibri" w:cs="Calibri"/>
          <w:color w:val="000000"/>
          <w:sz w:val="22"/>
          <w:lang w:eastAsia="en-GB"/>
        </w:rPr>
        <w:t>.1</w:t>
      </w:r>
      <w:r w:rsidR="00692A2E" w:rsidRPr="00413332">
        <w:rPr>
          <w:rFonts w:ascii="Calibri" w:eastAsia="Times New Roman" w:hAnsi="Calibri" w:cs="Calibri"/>
          <w:color w:val="000000"/>
          <w:sz w:val="22"/>
          <w:lang w:eastAsia="en-GB"/>
        </w:rPr>
        <w:tab/>
      </w:r>
      <w:r w:rsidR="00692A2E" w:rsidRPr="00413332">
        <w:rPr>
          <w:rFonts w:ascii="Calibri" w:eastAsia="Times New Roman" w:hAnsi="Calibri" w:cs="Calibri"/>
          <w:b/>
          <w:color w:val="000000"/>
          <w:sz w:val="22"/>
          <w:lang w:eastAsia="en-GB"/>
        </w:rPr>
        <w:t xml:space="preserve">Serious complaint against the </w:t>
      </w:r>
      <w:r w:rsidRPr="00413332">
        <w:rPr>
          <w:rFonts w:ascii="Calibri" w:eastAsia="Times New Roman" w:hAnsi="Calibri" w:cs="Calibri"/>
          <w:b/>
          <w:color w:val="000000"/>
          <w:sz w:val="22"/>
          <w:lang w:eastAsia="en-GB"/>
        </w:rPr>
        <w:t>CEO</w:t>
      </w:r>
      <w:r w:rsidR="00692A2E" w:rsidRPr="00413332">
        <w:rPr>
          <w:rFonts w:ascii="Calibri" w:eastAsia="Times New Roman" w:hAnsi="Calibri" w:cs="Calibri"/>
          <w:b/>
          <w:color w:val="000000"/>
          <w:sz w:val="22"/>
          <w:lang w:eastAsia="en-GB"/>
        </w:rPr>
        <w:t>.</w:t>
      </w:r>
    </w:p>
    <w:p w14:paraId="6A8B18B6" w14:textId="2C347A67" w:rsidR="00692A2E" w:rsidRPr="00413332" w:rsidRDefault="00692A2E" w:rsidP="00692A2E">
      <w:pPr>
        <w:spacing w:before="100" w:beforeAutospacing="1" w:after="100" w:afterAutospacing="1" w:line="240" w:lineRule="auto"/>
        <w:ind w:left="720"/>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t>The SHR’s statutory guidance on Notifiable Events sets out what the Board should do when dealing with a serious complaint or grievance against the Chief Executive or Director.</w:t>
      </w:r>
      <w:r w:rsidR="00D367EC" w:rsidRPr="00413332">
        <w:rPr>
          <w:rFonts w:ascii="Calibri" w:eastAsia="Times New Roman" w:hAnsi="Calibri" w:cs="Calibri"/>
          <w:color w:val="000000"/>
          <w:sz w:val="22"/>
          <w:lang w:eastAsia="en-GB"/>
        </w:rPr>
        <w:t xml:space="preserve">  Refer to separate policy.</w:t>
      </w:r>
    </w:p>
    <w:p w14:paraId="753FDED9" w14:textId="77777777" w:rsidR="00692A2E" w:rsidRPr="00413332" w:rsidRDefault="00692A2E" w:rsidP="00692A2E">
      <w:pPr>
        <w:spacing w:before="100" w:beforeAutospacing="1" w:after="100" w:afterAutospacing="1" w:line="240" w:lineRule="auto"/>
        <w:ind w:left="720"/>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t>The SHR expects the Board’s Chair to notify the SHR if there is a formal serious complaint against the Director and tell the SHR how the Board intends to handle the complaint.</w:t>
      </w:r>
    </w:p>
    <w:p w14:paraId="2E5517C7" w14:textId="77777777" w:rsidR="00692A2E" w:rsidRPr="00413332" w:rsidRDefault="00692A2E" w:rsidP="00692A2E">
      <w:pPr>
        <w:spacing w:before="100" w:beforeAutospacing="1" w:after="100" w:afterAutospacing="1" w:line="240" w:lineRule="auto"/>
        <w:ind w:left="720"/>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t>The SHR notes that employment issues are for the Board as employer to resolve with the individual employee, but the SHR has to be assured that the Board will handle a serious complaint or grievance about its Chief Officer in a manner that is compliant with regulatory standards and will get appropriate legal and independent HR advice and support to help it manage these situations and discharge its employment responsibilities fully and properly.</w:t>
      </w:r>
    </w:p>
    <w:p w14:paraId="117E0B55" w14:textId="239401FA" w:rsidR="00692A2E" w:rsidRPr="00413332" w:rsidRDefault="00692A2E" w:rsidP="00692A2E">
      <w:pPr>
        <w:spacing w:before="100" w:beforeAutospacing="1" w:after="100" w:afterAutospacing="1" w:line="240" w:lineRule="auto"/>
        <w:ind w:left="720"/>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t xml:space="preserve">As a full member of Employers in Voluntary Housing (EVH), </w:t>
      </w:r>
      <w:r w:rsidR="00AB6A74" w:rsidRPr="00413332">
        <w:rPr>
          <w:rFonts w:ascii="Calibri" w:eastAsia="Times New Roman" w:hAnsi="Calibri" w:cs="Calibri"/>
          <w:color w:val="000000"/>
          <w:sz w:val="22"/>
          <w:lang w:eastAsia="en-GB"/>
        </w:rPr>
        <w:t xml:space="preserve">BHA </w:t>
      </w:r>
      <w:r w:rsidRPr="00413332">
        <w:rPr>
          <w:rFonts w:ascii="Calibri" w:eastAsia="Times New Roman" w:hAnsi="Calibri" w:cs="Calibri"/>
          <w:color w:val="000000"/>
          <w:sz w:val="22"/>
          <w:lang w:eastAsia="en-GB"/>
        </w:rPr>
        <w:t>has adopted EVH’s model Disciplinary and Grievance Policies, which should be referred to.</w:t>
      </w:r>
    </w:p>
    <w:p w14:paraId="2B856DC8" w14:textId="3AF2742B" w:rsidR="00692A2E" w:rsidRPr="00413332" w:rsidRDefault="00D367EC" w:rsidP="00692A2E">
      <w:pPr>
        <w:spacing w:before="100" w:beforeAutospacing="1" w:after="100" w:afterAutospacing="1" w:line="240" w:lineRule="auto"/>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t>4</w:t>
      </w:r>
      <w:r w:rsidR="00692A2E" w:rsidRPr="00413332">
        <w:rPr>
          <w:rFonts w:ascii="Calibri" w:eastAsia="Times New Roman" w:hAnsi="Calibri" w:cs="Calibri"/>
          <w:color w:val="000000"/>
          <w:sz w:val="22"/>
          <w:lang w:eastAsia="en-GB"/>
        </w:rPr>
        <w:t xml:space="preserve">.2 </w:t>
      </w:r>
      <w:r w:rsidR="00692A2E" w:rsidRPr="00413332">
        <w:rPr>
          <w:rFonts w:ascii="Calibri" w:eastAsia="Times New Roman" w:hAnsi="Calibri" w:cs="Calibri"/>
          <w:color w:val="000000"/>
          <w:sz w:val="22"/>
          <w:lang w:eastAsia="en-GB"/>
        </w:rPr>
        <w:tab/>
      </w:r>
      <w:r w:rsidR="00692A2E" w:rsidRPr="00413332">
        <w:rPr>
          <w:rFonts w:ascii="Calibri" w:eastAsia="Times New Roman" w:hAnsi="Calibri" w:cs="Calibri"/>
          <w:b/>
          <w:color w:val="000000"/>
          <w:sz w:val="22"/>
          <w:lang w:eastAsia="en-GB"/>
        </w:rPr>
        <w:t>Serious complaint against a governing body member</w:t>
      </w:r>
    </w:p>
    <w:p w14:paraId="38D16A72" w14:textId="77777777" w:rsidR="00692A2E" w:rsidRPr="00413332" w:rsidRDefault="00692A2E" w:rsidP="00692A2E">
      <w:pPr>
        <w:spacing w:before="100" w:beforeAutospacing="1" w:after="100" w:afterAutospacing="1" w:line="240" w:lineRule="auto"/>
        <w:ind w:left="720"/>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t>The Association’s Code of Conduct for Governing Body Members details the procedure to be used in the event of a breach (or suspected breach) of the Code by a Board member. The Code should be read in conjunction with this Policy as the Code sets out the procedure to be used where a member of the Board has either breached or there are allegations of a breach of the Code.</w:t>
      </w:r>
    </w:p>
    <w:p w14:paraId="54ED7A9E" w14:textId="77777777" w:rsidR="00692A2E" w:rsidRPr="00413332" w:rsidRDefault="00692A2E" w:rsidP="00692A2E">
      <w:pPr>
        <w:spacing w:before="100" w:beforeAutospacing="1" w:after="100" w:afterAutospacing="1" w:line="240" w:lineRule="auto"/>
        <w:ind w:left="720"/>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t>Serious complaints, allegations, investigations, or disciplinary action about a member of the Board are notifiable events to the SHR.</w:t>
      </w:r>
    </w:p>
    <w:p w14:paraId="3585EC1F" w14:textId="77777777" w:rsidR="00692A2E" w:rsidRPr="00413332" w:rsidRDefault="00692A2E" w:rsidP="00692A2E">
      <w:pPr>
        <w:spacing w:before="100" w:beforeAutospacing="1" w:after="100" w:afterAutospacing="1" w:line="240" w:lineRule="auto"/>
        <w:ind w:left="720"/>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t>The SHR has to be assured that the Board will handle a serious complaint as noted above about any member of the Board in a manner that is compliant with regulatory standards and will get appropriate legal and independent advice and support to help the Board manage these situations fully and properly.</w:t>
      </w:r>
    </w:p>
    <w:p w14:paraId="300A3772" w14:textId="77777777" w:rsidR="00692A2E" w:rsidRPr="00413332" w:rsidRDefault="00692A2E" w:rsidP="008F475A">
      <w:pPr>
        <w:spacing w:after="0" w:line="240" w:lineRule="auto"/>
        <w:ind w:right="-618"/>
        <w:jc w:val="both"/>
        <w:rPr>
          <w:rFonts w:ascii="Calibri" w:hAnsi="Calibri" w:cs="Calibri"/>
          <w:sz w:val="22"/>
        </w:rPr>
      </w:pPr>
    </w:p>
    <w:p w14:paraId="3127BBC3" w14:textId="77777777" w:rsidR="00692A2E" w:rsidRPr="00413332" w:rsidRDefault="00692A2E" w:rsidP="008F475A">
      <w:pPr>
        <w:spacing w:after="0" w:line="240" w:lineRule="auto"/>
        <w:ind w:right="-618"/>
        <w:jc w:val="both"/>
        <w:rPr>
          <w:rFonts w:ascii="Calibri" w:hAnsi="Calibri" w:cs="Calibri"/>
          <w:sz w:val="22"/>
        </w:rPr>
      </w:pPr>
    </w:p>
    <w:p w14:paraId="3CDD1575" w14:textId="13776DB2" w:rsidR="00692A2E" w:rsidRPr="00413332" w:rsidRDefault="00D367EC" w:rsidP="00D367EC">
      <w:pPr>
        <w:pStyle w:val="Heading1"/>
        <w:rPr>
          <w:rFonts w:cs="Calibri"/>
          <w:lang w:eastAsia="en-GB"/>
        </w:rPr>
      </w:pPr>
      <w:r w:rsidRPr="00413332">
        <w:rPr>
          <w:rFonts w:cs="Calibri"/>
          <w:lang w:eastAsia="en-GB"/>
        </w:rPr>
        <w:t>5</w:t>
      </w:r>
      <w:r w:rsidR="00692A2E" w:rsidRPr="00413332">
        <w:rPr>
          <w:rFonts w:cs="Calibri"/>
          <w:lang w:eastAsia="en-GB"/>
        </w:rPr>
        <w:t>.</w:t>
      </w:r>
      <w:r w:rsidRPr="00413332">
        <w:rPr>
          <w:rFonts w:cs="Calibri"/>
          <w:lang w:eastAsia="en-GB"/>
        </w:rPr>
        <w:t xml:space="preserve"> </w:t>
      </w:r>
      <w:r w:rsidR="00692A2E" w:rsidRPr="00413332">
        <w:rPr>
          <w:rFonts w:cs="Calibri"/>
          <w:lang w:eastAsia="en-GB"/>
        </w:rPr>
        <w:t>NOTIFYING THE SCOTTISH HOUSING REGULATOR &amp; OTHERS</w:t>
      </w:r>
    </w:p>
    <w:p w14:paraId="088D0F69" w14:textId="0AADB9BB" w:rsidR="00692A2E" w:rsidRPr="00413332" w:rsidRDefault="00413332" w:rsidP="00692A2E">
      <w:pPr>
        <w:spacing w:before="100" w:beforeAutospacing="1" w:after="100" w:afterAutospacing="1" w:line="240" w:lineRule="auto"/>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t>5</w:t>
      </w:r>
      <w:r w:rsidR="00692A2E" w:rsidRPr="00413332">
        <w:rPr>
          <w:rFonts w:ascii="Calibri" w:eastAsia="Times New Roman" w:hAnsi="Calibri" w:cs="Calibri"/>
          <w:color w:val="000000"/>
          <w:sz w:val="22"/>
          <w:lang w:eastAsia="en-GB"/>
        </w:rPr>
        <w:t xml:space="preserve">.1 </w:t>
      </w:r>
      <w:r w:rsidR="00692A2E" w:rsidRPr="00413332">
        <w:rPr>
          <w:rFonts w:ascii="Calibri" w:eastAsia="Times New Roman" w:hAnsi="Calibri" w:cs="Calibri"/>
          <w:color w:val="000000"/>
          <w:sz w:val="22"/>
          <w:lang w:eastAsia="en-GB"/>
        </w:rPr>
        <w:tab/>
      </w:r>
      <w:r w:rsidR="00692A2E" w:rsidRPr="00413332">
        <w:rPr>
          <w:rFonts w:ascii="Calibri" w:eastAsia="Times New Roman" w:hAnsi="Calibri" w:cs="Calibri"/>
          <w:b/>
          <w:color w:val="000000"/>
          <w:sz w:val="22"/>
          <w:lang w:eastAsia="en-GB"/>
        </w:rPr>
        <w:t>Who should notify the SHR?</w:t>
      </w:r>
    </w:p>
    <w:p w14:paraId="2694E3D2" w14:textId="0D549123" w:rsidR="00692A2E" w:rsidRPr="00413332" w:rsidRDefault="00692A2E" w:rsidP="00692A2E">
      <w:pPr>
        <w:spacing w:before="100" w:beforeAutospacing="1" w:after="100" w:afterAutospacing="1" w:line="240" w:lineRule="auto"/>
        <w:ind w:left="720"/>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t xml:space="preserve">The SHR’s statutory guidance contains clear expectations relating to the way in which notifications are made to the SHR. The SHR’s Notifiable Events statutory guidance must be </w:t>
      </w:r>
      <w:r w:rsidRPr="00413332">
        <w:rPr>
          <w:rFonts w:ascii="Calibri" w:eastAsia="Times New Roman" w:hAnsi="Calibri" w:cs="Calibri"/>
          <w:color w:val="000000"/>
          <w:sz w:val="22"/>
          <w:lang w:eastAsia="en-GB"/>
        </w:rPr>
        <w:lastRenderedPageBreak/>
        <w:t>read in conjunction with this Policy. A copy of this guidance can be downloaded direct from the SHR’s website.</w:t>
      </w:r>
    </w:p>
    <w:p w14:paraId="38F4BD5D" w14:textId="3E6B7C86" w:rsidR="00692A2E" w:rsidRPr="00413332" w:rsidRDefault="00692A2E" w:rsidP="00692A2E">
      <w:pPr>
        <w:spacing w:before="100" w:beforeAutospacing="1" w:after="100" w:afterAutospacing="1" w:line="240" w:lineRule="auto"/>
        <w:ind w:left="720"/>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t xml:space="preserve">The </w:t>
      </w:r>
      <w:r w:rsidR="00D367EC" w:rsidRPr="00413332">
        <w:rPr>
          <w:rFonts w:ascii="Calibri" w:eastAsia="Times New Roman" w:hAnsi="Calibri" w:cs="Calibri"/>
          <w:color w:val="000000"/>
          <w:sz w:val="22"/>
          <w:lang w:eastAsia="en-GB"/>
        </w:rPr>
        <w:t>CEO</w:t>
      </w:r>
      <w:r w:rsidRPr="00413332">
        <w:rPr>
          <w:rFonts w:ascii="Calibri" w:eastAsia="Times New Roman" w:hAnsi="Calibri" w:cs="Calibri"/>
          <w:color w:val="000000"/>
          <w:sz w:val="22"/>
          <w:lang w:eastAsia="en-GB"/>
        </w:rPr>
        <w:t xml:space="preserve"> should tell the SHR about a notifiable event which relates to performance and service delivery issues or financial and funding issues. The Chair of the Board should tell the SHR when the notifiable event relates to a governance or organisational issue, for instance if the Director has left or if there are concerns about the senior officer or the governing body. The Chair must also tell the SHR about any changes relating to the Annual Assurance Statement. Further information on the authority to raise concerns with the SHR can be found in our Whistleblowing Policy.</w:t>
      </w:r>
    </w:p>
    <w:p w14:paraId="20117CF7" w14:textId="3C31F072" w:rsidR="00692A2E" w:rsidRPr="00413332" w:rsidRDefault="00692A2E" w:rsidP="00692A2E">
      <w:pPr>
        <w:spacing w:before="100" w:beforeAutospacing="1" w:after="100" w:afterAutospacing="1" w:line="240" w:lineRule="auto"/>
        <w:ind w:left="720"/>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t xml:space="preserve">The Board is accountable and responsible for the effective management of </w:t>
      </w:r>
      <w:r w:rsidR="00D367EC" w:rsidRPr="00413332">
        <w:rPr>
          <w:rFonts w:ascii="Calibri" w:eastAsia="Times New Roman" w:hAnsi="Calibri" w:cs="Calibri"/>
          <w:color w:val="000000"/>
          <w:sz w:val="22"/>
          <w:lang w:eastAsia="en-GB"/>
        </w:rPr>
        <w:t>B</w:t>
      </w:r>
      <w:r w:rsidRPr="00413332">
        <w:rPr>
          <w:rFonts w:ascii="Calibri" w:eastAsia="Times New Roman" w:hAnsi="Calibri" w:cs="Calibri"/>
          <w:color w:val="000000"/>
          <w:sz w:val="22"/>
          <w:lang w:eastAsia="en-GB"/>
        </w:rPr>
        <w:t xml:space="preserve">HA. Therefore, the Board should be aware of all notifiable events, even those which the </w:t>
      </w:r>
      <w:r w:rsidR="00D367EC" w:rsidRPr="00413332">
        <w:rPr>
          <w:rFonts w:ascii="Calibri" w:eastAsia="Times New Roman" w:hAnsi="Calibri" w:cs="Calibri"/>
          <w:color w:val="000000"/>
          <w:sz w:val="22"/>
          <w:lang w:eastAsia="en-GB"/>
        </w:rPr>
        <w:t>CEO</w:t>
      </w:r>
      <w:r w:rsidRPr="00413332">
        <w:rPr>
          <w:rFonts w:ascii="Calibri" w:eastAsia="Times New Roman" w:hAnsi="Calibri" w:cs="Calibri"/>
          <w:color w:val="000000"/>
          <w:sz w:val="22"/>
          <w:lang w:eastAsia="en-GB"/>
        </w:rPr>
        <w:t xml:space="preserve"> is responsible for reporting to the SHR. In some cases the SHR may need to notify other organisations of a notifiable event, for instance the Care Inspectorate if the matter relates to sheltered housing or care service, or to lenders, if it is a financial issue or where loan documentation specifies that certain events require to be notified to a lender.</w:t>
      </w:r>
    </w:p>
    <w:p w14:paraId="59F3E3F3" w14:textId="77777777" w:rsidR="00692A2E" w:rsidRPr="00413332" w:rsidRDefault="00692A2E" w:rsidP="00692A2E">
      <w:pPr>
        <w:spacing w:before="100" w:beforeAutospacing="1" w:after="100" w:afterAutospacing="1" w:line="240" w:lineRule="auto"/>
        <w:ind w:left="720"/>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t>Where the issue affects a subsidiary or a separate entity connected to us, we must notify the SHR and advise what we are doing to ensure that the matter is resolved. The SHR’s Group Structures and Constitutional Partnerships guidance provides further information.</w:t>
      </w:r>
    </w:p>
    <w:p w14:paraId="7C7CC168" w14:textId="10A69049" w:rsidR="00692A2E" w:rsidRPr="00413332" w:rsidRDefault="006C449D" w:rsidP="00692A2E">
      <w:pPr>
        <w:spacing w:before="100" w:beforeAutospacing="1" w:after="100" w:afterAutospacing="1" w:line="240" w:lineRule="auto"/>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t>5</w:t>
      </w:r>
      <w:r w:rsidR="00692A2E" w:rsidRPr="00413332">
        <w:rPr>
          <w:rFonts w:ascii="Calibri" w:eastAsia="Times New Roman" w:hAnsi="Calibri" w:cs="Calibri"/>
          <w:color w:val="000000"/>
          <w:sz w:val="22"/>
          <w:lang w:eastAsia="en-GB"/>
        </w:rPr>
        <w:t xml:space="preserve">.2 </w:t>
      </w:r>
      <w:r w:rsidR="00692A2E" w:rsidRPr="00413332">
        <w:rPr>
          <w:rFonts w:ascii="Calibri" w:eastAsia="Times New Roman" w:hAnsi="Calibri" w:cs="Calibri"/>
          <w:color w:val="000000"/>
          <w:sz w:val="22"/>
          <w:lang w:eastAsia="en-GB"/>
        </w:rPr>
        <w:tab/>
      </w:r>
      <w:r w:rsidR="00692A2E" w:rsidRPr="00413332">
        <w:rPr>
          <w:rFonts w:ascii="Calibri" w:eastAsia="Times New Roman" w:hAnsi="Calibri" w:cs="Calibri"/>
          <w:b/>
          <w:color w:val="000000"/>
          <w:sz w:val="22"/>
          <w:lang w:eastAsia="en-GB"/>
        </w:rPr>
        <w:t>What information does the SHR need &amp; how should it be submitted?</w:t>
      </w:r>
    </w:p>
    <w:p w14:paraId="5914B4B5" w14:textId="77777777" w:rsidR="00692A2E" w:rsidRPr="00413332" w:rsidRDefault="00692A2E" w:rsidP="00692A2E">
      <w:pPr>
        <w:spacing w:before="100" w:beforeAutospacing="1" w:after="100" w:afterAutospacing="1" w:line="240" w:lineRule="auto"/>
        <w:ind w:left="720"/>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t>Notifiable events are submitted on-line to the SHR through the Landlord Portal. The SHR needs need to know:</w:t>
      </w:r>
    </w:p>
    <w:p w14:paraId="0A655C66" w14:textId="77777777" w:rsidR="00692A2E" w:rsidRPr="00413332" w:rsidRDefault="00692A2E" w:rsidP="00183F26">
      <w:pPr>
        <w:numPr>
          <w:ilvl w:val="0"/>
          <w:numId w:val="3"/>
        </w:numPr>
        <w:spacing w:before="100" w:beforeAutospacing="1" w:after="100" w:afterAutospacing="1" w:line="240" w:lineRule="auto"/>
        <w:contextualSpacing/>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t>What the significant event, disposal or change is.</w:t>
      </w:r>
    </w:p>
    <w:p w14:paraId="6D9663F5" w14:textId="77777777" w:rsidR="00692A2E" w:rsidRPr="00413332" w:rsidRDefault="00692A2E" w:rsidP="00183F26">
      <w:pPr>
        <w:numPr>
          <w:ilvl w:val="0"/>
          <w:numId w:val="3"/>
        </w:numPr>
        <w:spacing w:before="100" w:beforeAutospacing="1" w:after="100" w:afterAutospacing="1" w:line="240" w:lineRule="auto"/>
        <w:contextualSpacing/>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t>When it happened or is likely to happen.</w:t>
      </w:r>
    </w:p>
    <w:p w14:paraId="3D85A2F8" w14:textId="77777777" w:rsidR="00692A2E" w:rsidRPr="00413332" w:rsidRDefault="00692A2E" w:rsidP="00183F26">
      <w:pPr>
        <w:numPr>
          <w:ilvl w:val="0"/>
          <w:numId w:val="3"/>
        </w:numPr>
        <w:spacing w:before="100" w:beforeAutospacing="1" w:after="100" w:afterAutospacing="1" w:line="240" w:lineRule="auto"/>
        <w:contextualSpacing/>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t>Who is involved and/or affected.</w:t>
      </w:r>
    </w:p>
    <w:p w14:paraId="4AC9CC66" w14:textId="63ACE731" w:rsidR="00692A2E" w:rsidRPr="00413332" w:rsidRDefault="00692A2E" w:rsidP="00183F26">
      <w:pPr>
        <w:numPr>
          <w:ilvl w:val="0"/>
          <w:numId w:val="3"/>
        </w:numPr>
        <w:spacing w:before="100" w:beforeAutospacing="1" w:after="100" w:afterAutospacing="1" w:line="240" w:lineRule="auto"/>
        <w:contextualSpacing/>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t xml:space="preserve">Whether there are equalities or human rights implications and how </w:t>
      </w:r>
      <w:r w:rsidR="00AB6A74" w:rsidRPr="00413332">
        <w:rPr>
          <w:rFonts w:ascii="Calibri" w:eastAsia="Times New Roman" w:hAnsi="Calibri" w:cs="Calibri"/>
          <w:color w:val="000000"/>
          <w:sz w:val="22"/>
          <w:lang w:eastAsia="en-GB"/>
        </w:rPr>
        <w:t xml:space="preserve">BHA </w:t>
      </w:r>
      <w:r w:rsidRPr="00413332">
        <w:rPr>
          <w:rFonts w:ascii="Calibri" w:eastAsia="Times New Roman" w:hAnsi="Calibri" w:cs="Calibri"/>
          <w:color w:val="000000"/>
          <w:sz w:val="22"/>
          <w:lang w:eastAsia="en-GB"/>
        </w:rPr>
        <w:t>is ensuring it meets its legal duties in these areas.</w:t>
      </w:r>
    </w:p>
    <w:p w14:paraId="3AB349C2" w14:textId="33E815CF" w:rsidR="00692A2E" w:rsidRPr="00413332" w:rsidRDefault="00692A2E" w:rsidP="00183F26">
      <w:pPr>
        <w:numPr>
          <w:ilvl w:val="0"/>
          <w:numId w:val="3"/>
        </w:numPr>
        <w:spacing w:before="100" w:beforeAutospacing="1" w:after="100" w:afterAutospacing="1" w:line="240" w:lineRule="auto"/>
        <w:contextualSpacing/>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t xml:space="preserve">What </w:t>
      </w:r>
      <w:r w:rsidR="00AB6A74" w:rsidRPr="00413332">
        <w:rPr>
          <w:rFonts w:ascii="Calibri" w:eastAsia="Times New Roman" w:hAnsi="Calibri" w:cs="Calibri"/>
          <w:color w:val="000000"/>
          <w:sz w:val="22"/>
          <w:lang w:eastAsia="en-GB"/>
        </w:rPr>
        <w:t xml:space="preserve">BHA </w:t>
      </w:r>
      <w:r w:rsidRPr="00413332">
        <w:rPr>
          <w:rFonts w:ascii="Calibri" w:eastAsia="Times New Roman" w:hAnsi="Calibri" w:cs="Calibri"/>
          <w:color w:val="000000"/>
          <w:sz w:val="22"/>
          <w:lang w:eastAsia="en-GB"/>
        </w:rPr>
        <w:t>is planning to do or what action it has already taken.</w:t>
      </w:r>
    </w:p>
    <w:p w14:paraId="0B21761D" w14:textId="77777777" w:rsidR="00692A2E" w:rsidRPr="00413332" w:rsidRDefault="00692A2E" w:rsidP="00183F26">
      <w:pPr>
        <w:numPr>
          <w:ilvl w:val="0"/>
          <w:numId w:val="3"/>
        </w:numPr>
        <w:spacing w:before="100" w:beforeAutospacing="1" w:after="100" w:afterAutospacing="1" w:line="240" w:lineRule="auto"/>
        <w:contextualSpacing/>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t>When the Board was informed/will be informed.</w:t>
      </w:r>
    </w:p>
    <w:p w14:paraId="70D006C5" w14:textId="77777777" w:rsidR="006C449D" w:rsidRPr="00413332" w:rsidRDefault="006C449D" w:rsidP="00692A2E">
      <w:pPr>
        <w:spacing w:before="100" w:beforeAutospacing="1" w:after="100" w:afterAutospacing="1" w:line="240" w:lineRule="auto"/>
        <w:ind w:left="360"/>
        <w:rPr>
          <w:rFonts w:ascii="Calibri" w:eastAsia="Times New Roman" w:hAnsi="Calibri" w:cs="Calibri"/>
          <w:color w:val="000000"/>
          <w:sz w:val="22"/>
          <w:lang w:eastAsia="en-GB"/>
        </w:rPr>
      </w:pPr>
    </w:p>
    <w:p w14:paraId="1DBCF9D3" w14:textId="60F9F8F0" w:rsidR="00692A2E" w:rsidRPr="00413332" w:rsidRDefault="00692A2E" w:rsidP="006C449D">
      <w:pPr>
        <w:spacing w:before="100" w:beforeAutospacing="1" w:after="100" w:afterAutospacing="1" w:line="240" w:lineRule="auto"/>
        <w:ind w:left="720"/>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t>For notifications relating to tenant consultation, reference must be made to the SHR’s statutory guidance on Tenant Consultation and Approval.</w:t>
      </w:r>
    </w:p>
    <w:p w14:paraId="75C8CB79" w14:textId="77777777" w:rsidR="00692A2E" w:rsidRPr="00413332" w:rsidRDefault="00692A2E" w:rsidP="006C449D">
      <w:pPr>
        <w:spacing w:before="100" w:beforeAutospacing="1" w:after="100" w:afterAutospacing="1" w:line="240" w:lineRule="auto"/>
        <w:ind w:left="720"/>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t>When notifying the SHR about disposals, and constitutional or organisational changes reference must be made to Appendix 2 within the SHR’s Notifiable Events statutory guidance.</w:t>
      </w:r>
    </w:p>
    <w:p w14:paraId="3332C729" w14:textId="2CA0C1E0" w:rsidR="00692A2E" w:rsidRPr="00413332" w:rsidRDefault="00692A2E" w:rsidP="006C449D">
      <w:pPr>
        <w:spacing w:before="100" w:beforeAutospacing="1" w:after="100" w:afterAutospacing="1" w:line="240" w:lineRule="auto"/>
        <w:ind w:left="720"/>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t xml:space="preserve">If an event relates to an issue already noted in </w:t>
      </w:r>
      <w:r w:rsidR="006C449D" w:rsidRPr="00413332">
        <w:rPr>
          <w:rFonts w:ascii="Calibri" w:eastAsia="Times New Roman" w:hAnsi="Calibri" w:cs="Calibri"/>
          <w:color w:val="000000"/>
          <w:sz w:val="22"/>
          <w:lang w:eastAsia="en-GB"/>
        </w:rPr>
        <w:t>B</w:t>
      </w:r>
      <w:r w:rsidRPr="00413332">
        <w:rPr>
          <w:rFonts w:ascii="Calibri" w:eastAsia="Times New Roman" w:hAnsi="Calibri" w:cs="Calibri"/>
          <w:color w:val="000000"/>
          <w:sz w:val="22"/>
          <w:lang w:eastAsia="en-GB"/>
        </w:rPr>
        <w:t>HA’s Engagement Plan, advice should be sought from the SHR as to whether the issue is a notifiable event.</w:t>
      </w:r>
    </w:p>
    <w:p w14:paraId="3E0F4071" w14:textId="6437794B" w:rsidR="00692A2E" w:rsidRPr="00413332" w:rsidRDefault="006C449D" w:rsidP="00692A2E">
      <w:pPr>
        <w:spacing w:before="100" w:beforeAutospacing="1" w:after="100" w:afterAutospacing="1" w:line="240" w:lineRule="auto"/>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t>5</w:t>
      </w:r>
      <w:r w:rsidR="00692A2E" w:rsidRPr="00413332">
        <w:rPr>
          <w:rFonts w:ascii="Calibri" w:eastAsia="Times New Roman" w:hAnsi="Calibri" w:cs="Calibri"/>
          <w:color w:val="000000"/>
          <w:sz w:val="22"/>
          <w:lang w:eastAsia="en-GB"/>
        </w:rPr>
        <w:t xml:space="preserve">.3 </w:t>
      </w:r>
      <w:r w:rsidR="00692A2E" w:rsidRPr="00413332">
        <w:rPr>
          <w:rFonts w:ascii="Calibri" w:eastAsia="Times New Roman" w:hAnsi="Calibri" w:cs="Calibri"/>
          <w:color w:val="000000"/>
          <w:sz w:val="22"/>
          <w:lang w:eastAsia="en-GB"/>
        </w:rPr>
        <w:tab/>
      </w:r>
      <w:r w:rsidR="00692A2E" w:rsidRPr="00413332">
        <w:rPr>
          <w:rFonts w:ascii="Calibri" w:eastAsia="Times New Roman" w:hAnsi="Calibri" w:cs="Calibri"/>
          <w:b/>
          <w:color w:val="000000"/>
          <w:sz w:val="22"/>
          <w:lang w:eastAsia="en-GB"/>
        </w:rPr>
        <w:t>When should we notify the SHR?</w:t>
      </w:r>
    </w:p>
    <w:p w14:paraId="6A281301" w14:textId="4AD8601A" w:rsidR="00692A2E" w:rsidRPr="00413332" w:rsidRDefault="00AB6A74" w:rsidP="00692A2E">
      <w:pPr>
        <w:spacing w:before="100" w:beforeAutospacing="1" w:after="100" w:afterAutospacing="1" w:line="240" w:lineRule="auto"/>
        <w:ind w:left="720"/>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t xml:space="preserve">BHA </w:t>
      </w:r>
      <w:r w:rsidR="00692A2E" w:rsidRPr="00413332">
        <w:rPr>
          <w:rFonts w:ascii="Calibri" w:eastAsia="Times New Roman" w:hAnsi="Calibri" w:cs="Calibri"/>
          <w:color w:val="000000"/>
          <w:sz w:val="22"/>
          <w:lang w:eastAsia="en-GB"/>
        </w:rPr>
        <w:t>should alert the SHR to a notifiable event</w:t>
      </w:r>
      <w:r w:rsidR="006C449D" w:rsidRPr="00413332">
        <w:rPr>
          <w:rFonts w:ascii="Calibri" w:eastAsia="Times New Roman" w:hAnsi="Calibri" w:cs="Calibri"/>
          <w:color w:val="000000"/>
          <w:sz w:val="22"/>
          <w:lang w:eastAsia="en-GB"/>
        </w:rPr>
        <w:t xml:space="preserve"> as soon as is </w:t>
      </w:r>
      <w:r w:rsidR="00183F26" w:rsidRPr="00413332">
        <w:rPr>
          <w:rFonts w:ascii="Calibri" w:eastAsia="Times New Roman" w:hAnsi="Calibri" w:cs="Calibri"/>
          <w:color w:val="000000"/>
          <w:sz w:val="22"/>
          <w:lang w:eastAsia="en-GB"/>
        </w:rPr>
        <w:t>practicable,</w:t>
      </w:r>
      <w:r w:rsidR="00692A2E" w:rsidRPr="00413332">
        <w:rPr>
          <w:rFonts w:ascii="Calibri" w:eastAsia="Times New Roman" w:hAnsi="Calibri" w:cs="Calibri"/>
          <w:color w:val="000000"/>
          <w:sz w:val="22"/>
          <w:lang w:eastAsia="en-GB"/>
        </w:rPr>
        <w:t xml:space="preserve"> </w:t>
      </w:r>
      <w:r w:rsidR="006C449D" w:rsidRPr="00413332">
        <w:rPr>
          <w:rFonts w:ascii="Calibri" w:eastAsia="Times New Roman" w:hAnsi="Calibri" w:cs="Calibri"/>
          <w:color w:val="000000"/>
          <w:sz w:val="22"/>
          <w:lang w:eastAsia="en-GB"/>
        </w:rPr>
        <w:t xml:space="preserve">ideally </w:t>
      </w:r>
      <w:r w:rsidR="00692A2E" w:rsidRPr="00413332">
        <w:rPr>
          <w:rFonts w:ascii="Calibri" w:eastAsia="Times New Roman" w:hAnsi="Calibri" w:cs="Calibri"/>
          <w:color w:val="000000"/>
          <w:sz w:val="22"/>
          <w:lang w:eastAsia="en-GB"/>
        </w:rPr>
        <w:t>within 2 working days. Sometimes this will mean alerting the SHR before an anticipated event happens so that the SHR are aware in advance. There should be no delay, for instance, until after a scheduled Board meeting.</w:t>
      </w:r>
    </w:p>
    <w:p w14:paraId="1E6DF30B" w14:textId="6E931C7B" w:rsidR="00692A2E" w:rsidRPr="00413332" w:rsidRDefault="00692A2E" w:rsidP="00692A2E">
      <w:pPr>
        <w:spacing w:before="100" w:beforeAutospacing="1" w:after="100" w:afterAutospacing="1" w:line="240" w:lineRule="auto"/>
        <w:ind w:left="720"/>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lastRenderedPageBreak/>
        <w:t xml:space="preserve">Where a major incident occurs, </w:t>
      </w:r>
      <w:r w:rsidR="00AB6A74" w:rsidRPr="00413332">
        <w:rPr>
          <w:rFonts w:ascii="Calibri" w:eastAsia="Times New Roman" w:hAnsi="Calibri" w:cs="Calibri"/>
          <w:color w:val="000000"/>
          <w:sz w:val="22"/>
          <w:lang w:eastAsia="en-GB"/>
        </w:rPr>
        <w:t xml:space="preserve">BHA </w:t>
      </w:r>
      <w:r w:rsidRPr="00413332">
        <w:rPr>
          <w:rFonts w:ascii="Calibri" w:eastAsia="Times New Roman" w:hAnsi="Calibri" w:cs="Calibri"/>
          <w:color w:val="000000"/>
          <w:sz w:val="22"/>
          <w:lang w:eastAsia="en-GB"/>
        </w:rPr>
        <w:t xml:space="preserve">will alert the SHR within 1 working day, or as soon as is reasonably practical and will not wait until an event is completely concluded before alerting the SHR. In particular if </w:t>
      </w:r>
      <w:r w:rsidR="00AB6A74" w:rsidRPr="00413332">
        <w:rPr>
          <w:rFonts w:ascii="Calibri" w:eastAsia="Times New Roman" w:hAnsi="Calibri" w:cs="Calibri"/>
          <w:color w:val="000000"/>
          <w:sz w:val="22"/>
          <w:lang w:eastAsia="en-GB"/>
        </w:rPr>
        <w:t xml:space="preserve">BHA </w:t>
      </w:r>
      <w:r w:rsidRPr="00413332">
        <w:rPr>
          <w:rFonts w:ascii="Calibri" w:eastAsia="Times New Roman" w:hAnsi="Calibri" w:cs="Calibri"/>
          <w:color w:val="000000"/>
          <w:sz w:val="22"/>
          <w:lang w:eastAsia="en-GB"/>
        </w:rPr>
        <w:t>were to consider a disposal or organisational change which requires us to consult tenants under the 2010 Act, we would notify the SHR as soon as possible about our thinking.</w:t>
      </w:r>
    </w:p>
    <w:p w14:paraId="7B11B320" w14:textId="77777777" w:rsidR="00692A2E" w:rsidRPr="00413332" w:rsidRDefault="00692A2E" w:rsidP="00692A2E">
      <w:pPr>
        <w:spacing w:before="100" w:beforeAutospacing="1" w:after="100" w:afterAutospacing="1" w:line="240" w:lineRule="auto"/>
        <w:ind w:left="720"/>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t>If we advise the SHR in our Annual Assurance Statement that we are meeting the Standards of Governance and Financial Management and Requirements and this changes, we will notify the SHR as soon as possible about any significant or material non-compliance issues with the regulatory standards or our legal requirements.</w:t>
      </w:r>
    </w:p>
    <w:p w14:paraId="6585B3EA" w14:textId="77777777" w:rsidR="006C449D" w:rsidRPr="00413332" w:rsidRDefault="006C449D" w:rsidP="00692A2E">
      <w:pPr>
        <w:spacing w:before="100" w:beforeAutospacing="1" w:after="100" w:afterAutospacing="1" w:line="240" w:lineRule="auto"/>
        <w:ind w:left="720"/>
        <w:rPr>
          <w:rFonts w:ascii="Calibri" w:eastAsia="Times New Roman" w:hAnsi="Calibri" w:cs="Calibri"/>
          <w:color w:val="000000"/>
          <w:sz w:val="22"/>
          <w:lang w:eastAsia="en-GB"/>
        </w:rPr>
      </w:pPr>
    </w:p>
    <w:p w14:paraId="7111D36D" w14:textId="77777777" w:rsidR="00692A2E" w:rsidRPr="00413332" w:rsidRDefault="00692A2E" w:rsidP="00692A2E">
      <w:pPr>
        <w:spacing w:before="100" w:beforeAutospacing="1" w:after="100" w:afterAutospacing="1" w:line="240" w:lineRule="auto"/>
        <w:ind w:left="720"/>
        <w:rPr>
          <w:rFonts w:ascii="Calibri" w:eastAsia="Times New Roman" w:hAnsi="Calibri" w:cs="Calibri"/>
          <w:color w:val="000000"/>
          <w:sz w:val="22"/>
          <w:lang w:eastAsia="en-GB"/>
        </w:rPr>
      </w:pPr>
    </w:p>
    <w:p w14:paraId="53E8DFBA" w14:textId="7408D809" w:rsidR="00692A2E" w:rsidRPr="00413332" w:rsidRDefault="006C449D" w:rsidP="00692A2E">
      <w:pPr>
        <w:spacing w:before="100" w:beforeAutospacing="1" w:after="100" w:afterAutospacing="1" w:line="240" w:lineRule="auto"/>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t>5</w:t>
      </w:r>
      <w:r w:rsidR="00692A2E" w:rsidRPr="00413332">
        <w:rPr>
          <w:rFonts w:ascii="Calibri" w:eastAsia="Times New Roman" w:hAnsi="Calibri" w:cs="Calibri"/>
          <w:color w:val="000000"/>
          <w:sz w:val="22"/>
          <w:lang w:eastAsia="en-GB"/>
        </w:rPr>
        <w:t xml:space="preserve">.4 </w:t>
      </w:r>
      <w:r w:rsidR="00692A2E" w:rsidRPr="00413332">
        <w:rPr>
          <w:rFonts w:ascii="Calibri" w:eastAsia="Times New Roman" w:hAnsi="Calibri" w:cs="Calibri"/>
          <w:color w:val="000000"/>
          <w:sz w:val="22"/>
          <w:lang w:eastAsia="en-GB"/>
        </w:rPr>
        <w:tab/>
      </w:r>
      <w:r w:rsidR="00692A2E" w:rsidRPr="00413332">
        <w:rPr>
          <w:rFonts w:ascii="Calibri" w:eastAsia="Times New Roman" w:hAnsi="Calibri" w:cs="Calibri"/>
          <w:b/>
          <w:color w:val="000000"/>
          <w:sz w:val="22"/>
          <w:lang w:eastAsia="en-GB"/>
        </w:rPr>
        <w:t>Notifying the Care Inspectorate</w:t>
      </w:r>
    </w:p>
    <w:p w14:paraId="27DBC866" w14:textId="7DB147A9" w:rsidR="00692A2E" w:rsidRPr="00413332" w:rsidRDefault="00AB6A74" w:rsidP="00692A2E">
      <w:pPr>
        <w:spacing w:before="100" w:beforeAutospacing="1" w:after="100" w:afterAutospacing="1" w:line="240" w:lineRule="auto"/>
        <w:ind w:left="720"/>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t xml:space="preserve">BHA </w:t>
      </w:r>
      <w:r w:rsidR="00692A2E" w:rsidRPr="00413332">
        <w:rPr>
          <w:rFonts w:ascii="Calibri" w:eastAsia="Times New Roman" w:hAnsi="Calibri" w:cs="Calibri"/>
          <w:color w:val="000000"/>
          <w:sz w:val="22"/>
          <w:lang w:eastAsia="en-GB"/>
        </w:rPr>
        <w:t>is registered with the Care Inspectorate</w:t>
      </w:r>
      <w:r w:rsidR="006C449D" w:rsidRPr="00413332">
        <w:rPr>
          <w:rFonts w:ascii="Calibri" w:eastAsia="Times New Roman" w:hAnsi="Calibri" w:cs="Calibri"/>
          <w:color w:val="000000"/>
          <w:sz w:val="22"/>
          <w:lang w:eastAsia="en-GB"/>
        </w:rPr>
        <w:t xml:space="preserve"> for the provision of sheltered and supported housing</w:t>
      </w:r>
      <w:r w:rsidR="00692A2E" w:rsidRPr="00413332">
        <w:rPr>
          <w:rFonts w:ascii="Calibri" w:eastAsia="Times New Roman" w:hAnsi="Calibri" w:cs="Calibri"/>
          <w:color w:val="000000"/>
          <w:sz w:val="22"/>
          <w:lang w:eastAsia="en-GB"/>
        </w:rPr>
        <w:t>.  There is a section in the guidance on notifying the Care Inspectorate who have separate guidance</w:t>
      </w:r>
      <w:r w:rsidR="006C449D" w:rsidRPr="00413332">
        <w:rPr>
          <w:rFonts w:ascii="Calibri" w:eastAsia="Times New Roman" w:hAnsi="Calibri" w:cs="Calibri"/>
          <w:color w:val="000000"/>
          <w:sz w:val="22"/>
          <w:lang w:eastAsia="en-GB"/>
        </w:rPr>
        <w:t xml:space="preserve"> and processes</w:t>
      </w:r>
      <w:r w:rsidR="00692A2E" w:rsidRPr="00413332">
        <w:rPr>
          <w:rFonts w:ascii="Calibri" w:eastAsia="Times New Roman" w:hAnsi="Calibri" w:cs="Calibri"/>
          <w:color w:val="000000"/>
          <w:sz w:val="22"/>
          <w:lang w:eastAsia="en-GB"/>
        </w:rPr>
        <w:t>.</w:t>
      </w:r>
      <w:r w:rsidR="006C449D" w:rsidRPr="00413332">
        <w:rPr>
          <w:rFonts w:ascii="Calibri" w:eastAsia="Times New Roman" w:hAnsi="Calibri" w:cs="Calibri"/>
          <w:color w:val="000000"/>
          <w:sz w:val="22"/>
          <w:lang w:eastAsia="en-GB"/>
        </w:rPr>
        <w:t xml:space="preserve">  All notifications to the Care Inspectorate will also result in a Notifiable Event with the SHR in most cases.</w:t>
      </w:r>
    </w:p>
    <w:p w14:paraId="7821EB79" w14:textId="77777777" w:rsidR="00FE5411" w:rsidRPr="00413332" w:rsidRDefault="00FE5411">
      <w:pPr>
        <w:spacing w:after="0" w:line="240" w:lineRule="auto"/>
        <w:rPr>
          <w:rFonts w:ascii="Calibri" w:eastAsia="Times New Roman" w:hAnsi="Calibri" w:cs="Calibri"/>
          <w:sz w:val="22"/>
          <w:lang w:val="en" w:eastAsia="en-GB"/>
        </w:rPr>
      </w:pPr>
    </w:p>
    <w:p w14:paraId="40C6EACE" w14:textId="14FB2F42" w:rsidR="00B67BCE" w:rsidRPr="00413332" w:rsidRDefault="006C449D" w:rsidP="006C449D">
      <w:pPr>
        <w:pStyle w:val="Heading1"/>
        <w:rPr>
          <w:rFonts w:cs="Calibri"/>
        </w:rPr>
      </w:pPr>
      <w:r w:rsidRPr="00413332">
        <w:rPr>
          <w:rFonts w:cs="Calibri"/>
        </w:rPr>
        <w:t>6</w:t>
      </w:r>
      <w:r w:rsidR="00B67BCE" w:rsidRPr="00413332">
        <w:rPr>
          <w:rFonts w:cs="Calibri"/>
        </w:rPr>
        <w:t>. WHAT THE REGULATOR WILL DO WITH THE INFORMATION</w:t>
      </w:r>
    </w:p>
    <w:p w14:paraId="4C0C0EC1" w14:textId="77777777" w:rsidR="006C449D" w:rsidRPr="00413332" w:rsidRDefault="006C449D" w:rsidP="00B67BCE">
      <w:pPr>
        <w:spacing w:after="0" w:line="240" w:lineRule="auto"/>
        <w:ind w:right="-618"/>
        <w:jc w:val="both"/>
        <w:rPr>
          <w:rFonts w:ascii="Calibri" w:hAnsi="Calibri" w:cs="Calibri"/>
          <w:b/>
          <w:bCs/>
          <w:sz w:val="22"/>
        </w:rPr>
      </w:pPr>
    </w:p>
    <w:p w14:paraId="1958900B" w14:textId="2ED348B8" w:rsidR="00B67BCE" w:rsidRPr="00413332" w:rsidRDefault="006C449D" w:rsidP="006C449D">
      <w:pPr>
        <w:spacing w:after="0" w:line="240" w:lineRule="auto"/>
        <w:ind w:left="720" w:right="-618" w:hanging="720"/>
        <w:jc w:val="both"/>
        <w:rPr>
          <w:rFonts w:ascii="Calibri" w:hAnsi="Calibri" w:cs="Calibri"/>
          <w:sz w:val="22"/>
        </w:rPr>
      </w:pPr>
      <w:r w:rsidRPr="00413332">
        <w:rPr>
          <w:rFonts w:ascii="Calibri" w:hAnsi="Calibri" w:cs="Calibri"/>
          <w:sz w:val="22"/>
        </w:rPr>
        <w:t>6.1</w:t>
      </w:r>
      <w:r w:rsidRPr="00413332">
        <w:rPr>
          <w:rFonts w:ascii="Calibri" w:hAnsi="Calibri" w:cs="Calibri"/>
          <w:sz w:val="22"/>
        </w:rPr>
        <w:tab/>
      </w:r>
      <w:r w:rsidR="00B67BCE" w:rsidRPr="00413332">
        <w:rPr>
          <w:rFonts w:ascii="Calibri" w:hAnsi="Calibri" w:cs="Calibri"/>
          <w:sz w:val="22"/>
        </w:rPr>
        <w:t xml:space="preserve">The Regulator will need to be confident that the Association has an effective strategy in place to deal with the event.  If satisfied that it is being handled properly, then in most cases this will be sufficient.  The Regulator will assess whether it needs to assist or intervene to protect the interests of tenants and others, public </w:t>
      </w:r>
      <w:r w:rsidR="00183F26" w:rsidRPr="00413332">
        <w:rPr>
          <w:rFonts w:ascii="Calibri" w:hAnsi="Calibri" w:cs="Calibri"/>
          <w:sz w:val="22"/>
        </w:rPr>
        <w:t>investment,</w:t>
      </w:r>
      <w:r w:rsidR="00B67BCE" w:rsidRPr="00413332">
        <w:rPr>
          <w:rFonts w:ascii="Calibri" w:hAnsi="Calibri" w:cs="Calibri"/>
          <w:sz w:val="22"/>
        </w:rPr>
        <w:t xml:space="preserve"> and the reputation of the housing sector.  The Regulator may review the Regulatory Engagement Plan with the Association.  </w:t>
      </w:r>
    </w:p>
    <w:p w14:paraId="05F9F97C" w14:textId="77777777" w:rsidR="00B67BCE" w:rsidRPr="00413332" w:rsidRDefault="00B67BCE" w:rsidP="00B67BCE">
      <w:pPr>
        <w:spacing w:after="0" w:line="240" w:lineRule="auto"/>
        <w:ind w:right="-618"/>
        <w:jc w:val="both"/>
        <w:rPr>
          <w:rFonts w:ascii="Calibri" w:hAnsi="Calibri" w:cs="Calibri"/>
          <w:sz w:val="22"/>
        </w:rPr>
      </w:pPr>
    </w:p>
    <w:p w14:paraId="759AB9F4" w14:textId="7F746398" w:rsidR="00B67BCE" w:rsidRPr="00413332" w:rsidRDefault="006C449D" w:rsidP="006C449D">
      <w:pPr>
        <w:spacing w:after="0" w:line="240" w:lineRule="auto"/>
        <w:ind w:left="720" w:right="-618" w:hanging="720"/>
        <w:jc w:val="both"/>
        <w:rPr>
          <w:rFonts w:ascii="Calibri" w:hAnsi="Calibri" w:cs="Calibri"/>
          <w:sz w:val="22"/>
        </w:rPr>
      </w:pPr>
      <w:r w:rsidRPr="00413332">
        <w:rPr>
          <w:rFonts w:ascii="Calibri" w:hAnsi="Calibri" w:cs="Calibri"/>
          <w:sz w:val="22"/>
        </w:rPr>
        <w:t>6.2</w:t>
      </w:r>
      <w:r w:rsidRPr="00413332">
        <w:rPr>
          <w:rFonts w:ascii="Calibri" w:hAnsi="Calibri" w:cs="Calibri"/>
          <w:sz w:val="22"/>
        </w:rPr>
        <w:tab/>
      </w:r>
      <w:r w:rsidR="00B67BCE" w:rsidRPr="00413332">
        <w:rPr>
          <w:rFonts w:ascii="Calibri" w:hAnsi="Calibri" w:cs="Calibri"/>
          <w:sz w:val="22"/>
        </w:rPr>
        <w:t xml:space="preserve">The Association is responsible for managing our own organisation and dealing with the events that occur.  Requiring the Association to tell the Regulator about certain events does not transfer that responsibility to the Regulator.  The Regulator needs to be satisfied that the actions the Association will take will protect the interests of the organisation.  Where appropriate the Regulator will make clear what they expect the Association to do to </w:t>
      </w:r>
      <w:r w:rsidRPr="00413332">
        <w:rPr>
          <w:rFonts w:ascii="Calibri" w:hAnsi="Calibri" w:cs="Calibri"/>
          <w:sz w:val="22"/>
        </w:rPr>
        <w:t>alleviate</w:t>
      </w:r>
      <w:r w:rsidR="00B67BCE" w:rsidRPr="00413332">
        <w:rPr>
          <w:rFonts w:ascii="Calibri" w:hAnsi="Calibri" w:cs="Calibri"/>
          <w:sz w:val="22"/>
        </w:rPr>
        <w:t xml:space="preserve"> concerns.</w:t>
      </w:r>
    </w:p>
    <w:p w14:paraId="5C56F867" w14:textId="7373327A" w:rsidR="009D02C1" w:rsidRPr="00413332" w:rsidRDefault="009D02C1" w:rsidP="00B67BCE">
      <w:pPr>
        <w:spacing w:after="0" w:line="240" w:lineRule="auto"/>
        <w:ind w:right="-618"/>
        <w:jc w:val="both"/>
        <w:rPr>
          <w:rFonts w:ascii="Calibri" w:hAnsi="Calibri" w:cs="Calibri"/>
          <w:sz w:val="22"/>
        </w:rPr>
      </w:pPr>
    </w:p>
    <w:p w14:paraId="25647406" w14:textId="77777777" w:rsidR="009D02C1" w:rsidRPr="00413332" w:rsidRDefault="009D02C1" w:rsidP="00B67BCE">
      <w:pPr>
        <w:spacing w:after="0" w:line="240" w:lineRule="auto"/>
        <w:ind w:right="-618"/>
        <w:jc w:val="both"/>
        <w:rPr>
          <w:rFonts w:ascii="Calibri" w:hAnsi="Calibri" w:cs="Calibri"/>
          <w:sz w:val="22"/>
        </w:rPr>
      </w:pPr>
    </w:p>
    <w:p w14:paraId="69091F4E" w14:textId="249D55B5" w:rsidR="009D02C1" w:rsidRPr="00413332" w:rsidRDefault="006C449D" w:rsidP="006C449D">
      <w:pPr>
        <w:pStyle w:val="Heading1"/>
        <w:rPr>
          <w:rFonts w:cs="Calibri"/>
        </w:rPr>
      </w:pPr>
      <w:r w:rsidRPr="00413332">
        <w:rPr>
          <w:rFonts w:cs="Calibri"/>
        </w:rPr>
        <w:t>7</w:t>
      </w:r>
      <w:r w:rsidR="009D02C1" w:rsidRPr="00413332">
        <w:rPr>
          <w:rFonts w:cs="Calibri"/>
        </w:rPr>
        <w:t>. FAILURE TO NOTIFY THE REGULATOR</w:t>
      </w:r>
    </w:p>
    <w:p w14:paraId="382FFEAE" w14:textId="77777777" w:rsidR="006C449D" w:rsidRPr="00413332" w:rsidRDefault="006C449D" w:rsidP="009D02C1">
      <w:pPr>
        <w:spacing w:after="0" w:line="240" w:lineRule="auto"/>
        <w:ind w:right="-618"/>
        <w:jc w:val="both"/>
        <w:rPr>
          <w:rFonts w:ascii="Calibri" w:hAnsi="Calibri" w:cs="Calibri"/>
          <w:sz w:val="22"/>
        </w:rPr>
      </w:pPr>
    </w:p>
    <w:p w14:paraId="3F60CFF4" w14:textId="05F88837" w:rsidR="009D02C1" w:rsidRPr="00413332" w:rsidRDefault="006C449D" w:rsidP="006C449D">
      <w:pPr>
        <w:spacing w:after="0" w:line="240" w:lineRule="auto"/>
        <w:ind w:left="720" w:right="-618" w:hanging="720"/>
        <w:jc w:val="both"/>
        <w:rPr>
          <w:rFonts w:ascii="Calibri" w:hAnsi="Calibri" w:cs="Calibri"/>
          <w:sz w:val="22"/>
        </w:rPr>
      </w:pPr>
      <w:r w:rsidRPr="00413332">
        <w:rPr>
          <w:rFonts w:ascii="Calibri" w:hAnsi="Calibri" w:cs="Calibri"/>
          <w:sz w:val="22"/>
        </w:rPr>
        <w:t>7.1</w:t>
      </w:r>
      <w:r w:rsidRPr="00413332">
        <w:rPr>
          <w:rFonts w:ascii="Calibri" w:hAnsi="Calibri" w:cs="Calibri"/>
          <w:sz w:val="22"/>
        </w:rPr>
        <w:tab/>
      </w:r>
      <w:r w:rsidR="009D02C1" w:rsidRPr="00413332">
        <w:rPr>
          <w:rFonts w:ascii="Calibri" w:hAnsi="Calibri" w:cs="Calibri"/>
          <w:sz w:val="22"/>
        </w:rPr>
        <w:t>If the Association fails to notify the Regulator, or delay notifying the Regulator about a significant event affecting the Association and it comes to the Regulator’s attention by other means, the Regulator will ask the Association why we have failed to notify them.  Following this, if the Regulator has concerns about the event or the explanation, it will reassess the risk profile of the Association and consider if regulatory action is required.</w:t>
      </w:r>
    </w:p>
    <w:p w14:paraId="5A4CC683" w14:textId="77777777" w:rsidR="00B67BCE" w:rsidRPr="00413332" w:rsidRDefault="00B67BCE" w:rsidP="009D02C1">
      <w:pPr>
        <w:spacing w:after="0" w:line="240" w:lineRule="auto"/>
        <w:ind w:right="-618"/>
        <w:jc w:val="both"/>
        <w:rPr>
          <w:rFonts w:ascii="Calibri" w:hAnsi="Calibri" w:cs="Calibri"/>
          <w:sz w:val="22"/>
        </w:rPr>
      </w:pPr>
    </w:p>
    <w:p w14:paraId="6E5A96B2" w14:textId="3A53281C" w:rsidR="00692A2E" w:rsidRPr="00413332" w:rsidRDefault="006C449D" w:rsidP="006C449D">
      <w:pPr>
        <w:pStyle w:val="Heading1"/>
        <w:rPr>
          <w:rFonts w:cs="Calibri"/>
          <w:lang w:eastAsia="en-GB"/>
        </w:rPr>
      </w:pPr>
      <w:r w:rsidRPr="00413332">
        <w:rPr>
          <w:rFonts w:cs="Calibri"/>
          <w:lang w:eastAsia="en-GB"/>
        </w:rPr>
        <w:t>8</w:t>
      </w:r>
      <w:r w:rsidR="00692A2E" w:rsidRPr="00413332">
        <w:rPr>
          <w:rFonts w:cs="Calibri"/>
          <w:lang w:eastAsia="en-GB"/>
        </w:rPr>
        <w:t>.</w:t>
      </w:r>
      <w:r w:rsidRPr="00413332">
        <w:rPr>
          <w:rFonts w:cs="Calibri"/>
          <w:lang w:eastAsia="en-GB"/>
        </w:rPr>
        <w:t xml:space="preserve"> </w:t>
      </w:r>
      <w:r w:rsidR="00692A2E" w:rsidRPr="00413332">
        <w:rPr>
          <w:rFonts w:cs="Calibri"/>
          <w:lang w:eastAsia="en-GB"/>
        </w:rPr>
        <w:t>EQUALITY AND DIVERSITY</w:t>
      </w:r>
    </w:p>
    <w:p w14:paraId="2454233A" w14:textId="70DD9E72" w:rsidR="00692A2E" w:rsidRPr="00413332" w:rsidRDefault="006C449D" w:rsidP="00692A2E">
      <w:pPr>
        <w:spacing w:before="100" w:beforeAutospacing="1" w:after="100" w:afterAutospacing="1" w:line="240" w:lineRule="auto"/>
        <w:ind w:left="720"/>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t>B</w:t>
      </w:r>
      <w:r w:rsidR="00AB6A74" w:rsidRPr="00413332">
        <w:rPr>
          <w:rFonts w:ascii="Calibri" w:eastAsia="Times New Roman" w:hAnsi="Calibri" w:cs="Calibri"/>
          <w:color w:val="000000"/>
          <w:sz w:val="22"/>
          <w:lang w:eastAsia="en-GB"/>
        </w:rPr>
        <w:t xml:space="preserve">HA </w:t>
      </w:r>
      <w:r w:rsidR="00692A2E" w:rsidRPr="00413332">
        <w:rPr>
          <w:rFonts w:ascii="Calibri" w:eastAsia="Times New Roman" w:hAnsi="Calibri" w:cs="Calibri"/>
          <w:color w:val="000000"/>
          <w:sz w:val="22"/>
          <w:lang w:eastAsia="en-GB"/>
        </w:rPr>
        <w:t>is committed to promoting an environment of respect, understanding, encouraging diversity, and eliminating discrimination by providing equality of opportunity for all. This is reflected in our Equality and Diversity Polic</w:t>
      </w:r>
      <w:r w:rsidRPr="00413332">
        <w:rPr>
          <w:rFonts w:ascii="Calibri" w:eastAsia="Times New Roman" w:hAnsi="Calibri" w:cs="Calibri"/>
          <w:color w:val="000000"/>
          <w:sz w:val="22"/>
          <w:lang w:eastAsia="en-GB"/>
        </w:rPr>
        <w:t>ies</w:t>
      </w:r>
      <w:r w:rsidR="00692A2E" w:rsidRPr="00413332">
        <w:rPr>
          <w:rFonts w:ascii="Calibri" w:eastAsia="Times New Roman" w:hAnsi="Calibri" w:cs="Calibri"/>
          <w:color w:val="000000"/>
          <w:sz w:val="22"/>
          <w:lang w:eastAsia="en-GB"/>
        </w:rPr>
        <w:t>.</w:t>
      </w:r>
    </w:p>
    <w:p w14:paraId="4AD82596" w14:textId="0E3A1A2B" w:rsidR="00692A2E" w:rsidRPr="00413332" w:rsidRDefault="00183F26" w:rsidP="00183F26">
      <w:pPr>
        <w:pStyle w:val="Heading1"/>
        <w:rPr>
          <w:rFonts w:cs="Calibri"/>
          <w:lang w:eastAsia="en-GB"/>
        </w:rPr>
      </w:pPr>
      <w:r w:rsidRPr="00413332">
        <w:rPr>
          <w:rFonts w:cs="Calibri"/>
          <w:lang w:eastAsia="en-GB"/>
        </w:rPr>
        <w:t>9</w:t>
      </w:r>
      <w:r w:rsidR="00692A2E" w:rsidRPr="00413332">
        <w:rPr>
          <w:rFonts w:cs="Calibri"/>
          <w:lang w:eastAsia="en-GB"/>
        </w:rPr>
        <w:t>.</w:t>
      </w:r>
      <w:r w:rsidR="006C449D" w:rsidRPr="00413332">
        <w:rPr>
          <w:rFonts w:cs="Calibri"/>
          <w:lang w:eastAsia="en-GB"/>
        </w:rPr>
        <w:t xml:space="preserve"> </w:t>
      </w:r>
      <w:r w:rsidR="00692A2E" w:rsidRPr="00413332">
        <w:rPr>
          <w:rFonts w:cs="Calibri"/>
          <w:lang w:eastAsia="en-GB"/>
        </w:rPr>
        <w:t>COMPLAINTS</w:t>
      </w:r>
    </w:p>
    <w:p w14:paraId="6126CA33" w14:textId="24AAB005" w:rsidR="00692A2E" w:rsidRPr="00413332" w:rsidRDefault="00183F26" w:rsidP="00692A2E">
      <w:pPr>
        <w:spacing w:before="100" w:beforeAutospacing="1" w:after="100" w:afterAutospacing="1" w:line="240" w:lineRule="auto"/>
        <w:ind w:left="720" w:hanging="720"/>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lastRenderedPageBreak/>
        <w:t>9</w:t>
      </w:r>
      <w:r w:rsidR="00692A2E" w:rsidRPr="00413332">
        <w:rPr>
          <w:rFonts w:ascii="Calibri" w:eastAsia="Times New Roman" w:hAnsi="Calibri" w:cs="Calibri"/>
          <w:color w:val="000000"/>
          <w:sz w:val="22"/>
          <w:lang w:eastAsia="en-GB"/>
        </w:rPr>
        <w:t xml:space="preserve">.1 </w:t>
      </w:r>
      <w:r w:rsidR="00692A2E" w:rsidRPr="00413332">
        <w:rPr>
          <w:rFonts w:ascii="Calibri" w:eastAsia="Times New Roman" w:hAnsi="Calibri" w:cs="Calibri"/>
          <w:color w:val="000000"/>
          <w:sz w:val="22"/>
          <w:lang w:eastAsia="en-GB"/>
        </w:rPr>
        <w:tab/>
        <w:t xml:space="preserve">Although </w:t>
      </w:r>
      <w:r w:rsidR="00AB6A74" w:rsidRPr="00413332">
        <w:rPr>
          <w:rFonts w:ascii="Calibri" w:eastAsia="Times New Roman" w:hAnsi="Calibri" w:cs="Calibri"/>
          <w:color w:val="000000"/>
          <w:sz w:val="22"/>
          <w:lang w:eastAsia="en-GB"/>
        </w:rPr>
        <w:t xml:space="preserve">BHA </w:t>
      </w:r>
      <w:r w:rsidR="00692A2E" w:rsidRPr="00413332">
        <w:rPr>
          <w:rFonts w:ascii="Calibri" w:eastAsia="Times New Roman" w:hAnsi="Calibri" w:cs="Calibri"/>
          <w:color w:val="000000"/>
          <w:sz w:val="22"/>
          <w:lang w:eastAsia="en-GB"/>
        </w:rPr>
        <w:t xml:space="preserve">is committed to providing high levels of service, we accept that there may be occasions where a person may not be satisfied with the </w:t>
      </w:r>
      <w:r w:rsidR="00BF43D8" w:rsidRPr="00413332">
        <w:rPr>
          <w:rFonts w:ascii="Calibri" w:eastAsia="Times New Roman" w:hAnsi="Calibri" w:cs="Calibri"/>
          <w:color w:val="000000"/>
          <w:sz w:val="22"/>
          <w:lang w:eastAsia="en-GB"/>
        </w:rPr>
        <w:t xml:space="preserve">service </w:t>
      </w:r>
      <w:r w:rsidR="00692A2E" w:rsidRPr="00413332">
        <w:rPr>
          <w:rFonts w:ascii="Calibri" w:eastAsia="Times New Roman" w:hAnsi="Calibri" w:cs="Calibri"/>
          <w:color w:val="000000"/>
          <w:sz w:val="22"/>
          <w:lang w:eastAsia="en-GB"/>
        </w:rPr>
        <w:t xml:space="preserve">they have received from us. We value all complaints and use this information to help us improve our services. </w:t>
      </w:r>
      <w:r w:rsidRPr="00413332">
        <w:rPr>
          <w:rFonts w:ascii="Calibri" w:eastAsia="Times New Roman" w:hAnsi="Calibri" w:cs="Calibri"/>
          <w:color w:val="000000"/>
          <w:sz w:val="22"/>
          <w:lang w:eastAsia="en-GB"/>
        </w:rPr>
        <w:t>B</w:t>
      </w:r>
      <w:r w:rsidR="00692A2E" w:rsidRPr="00413332">
        <w:rPr>
          <w:rFonts w:ascii="Calibri" w:eastAsia="Times New Roman" w:hAnsi="Calibri" w:cs="Calibri"/>
          <w:color w:val="000000"/>
          <w:sz w:val="22"/>
          <w:lang w:eastAsia="en-GB"/>
        </w:rPr>
        <w:t>HA’s Complaints Policy describes our complaints procedure and how to make a complaint.</w:t>
      </w:r>
    </w:p>
    <w:p w14:paraId="2827F725" w14:textId="0722F5D2" w:rsidR="00692A2E" w:rsidRPr="00413332" w:rsidRDefault="00183F26" w:rsidP="00183F26">
      <w:pPr>
        <w:pStyle w:val="Heading1"/>
        <w:rPr>
          <w:rFonts w:cs="Calibri"/>
          <w:lang w:eastAsia="en-GB"/>
        </w:rPr>
      </w:pPr>
      <w:r w:rsidRPr="00413332">
        <w:rPr>
          <w:rFonts w:cs="Calibri"/>
          <w:lang w:eastAsia="en-GB"/>
        </w:rPr>
        <w:t>10</w:t>
      </w:r>
      <w:r w:rsidR="00692A2E" w:rsidRPr="00413332">
        <w:rPr>
          <w:rFonts w:cs="Calibri"/>
          <w:lang w:eastAsia="en-GB"/>
        </w:rPr>
        <w:t>.</w:t>
      </w:r>
      <w:r w:rsidRPr="00413332">
        <w:rPr>
          <w:rFonts w:cs="Calibri"/>
          <w:lang w:eastAsia="en-GB"/>
        </w:rPr>
        <w:t xml:space="preserve"> </w:t>
      </w:r>
      <w:r w:rsidR="00692A2E" w:rsidRPr="00413332">
        <w:rPr>
          <w:rFonts w:cs="Calibri"/>
          <w:lang w:eastAsia="en-GB"/>
        </w:rPr>
        <w:t>GDPR</w:t>
      </w:r>
    </w:p>
    <w:p w14:paraId="20412082" w14:textId="54DBB71D" w:rsidR="00692A2E" w:rsidRPr="00413332" w:rsidRDefault="00183F26" w:rsidP="00692A2E">
      <w:pPr>
        <w:spacing w:before="100" w:beforeAutospacing="1" w:after="100" w:afterAutospacing="1" w:line="240" w:lineRule="auto"/>
        <w:ind w:left="720" w:hanging="720"/>
        <w:rPr>
          <w:rFonts w:ascii="Calibri" w:eastAsia="Times New Roman" w:hAnsi="Calibri" w:cs="Calibri"/>
          <w:color w:val="000000"/>
          <w:sz w:val="22"/>
          <w:lang w:eastAsia="en-GB"/>
        </w:rPr>
      </w:pPr>
      <w:r w:rsidRPr="00413332">
        <w:rPr>
          <w:rFonts w:ascii="Calibri" w:eastAsia="Times New Roman" w:hAnsi="Calibri" w:cs="Calibri"/>
          <w:color w:val="000000"/>
          <w:sz w:val="22"/>
          <w:lang w:eastAsia="en-GB"/>
        </w:rPr>
        <w:t>10</w:t>
      </w:r>
      <w:r w:rsidR="00692A2E" w:rsidRPr="00413332">
        <w:rPr>
          <w:rFonts w:ascii="Calibri" w:eastAsia="Times New Roman" w:hAnsi="Calibri" w:cs="Calibri"/>
          <w:color w:val="000000"/>
          <w:sz w:val="22"/>
          <w:lang w:eastAsia="en-GB"/>
        </w:rPr>
        <w:t>.1</w:t>
      </w:r>
      <w:r w:rsidR="00692A2E" w:rsidRPr="00413332">
        <w:rPr>
          <w:rFonts w:ascii="Calibri" w:eastAsia="Times New Roman" w:hAnsi="Calibri" w:cs="Calibri"/>
          <w:color w:val="000000"/>
          <w:sz w:val="22"/>
          <w:lang w:eastAsia="en-GB"/>
        </w:rPr>
        <w:tab/>
        <w:t>We will treat personal data in line with our obligations under the current data protection regulations and our Data Protection Policy. Information regarding how data will be used and the basis for processing data is provided in our Customer Fair Processing Notice.</w:t>
      </w:r>
    </w:p>
    <w:p w14:paraId="79752CA9" w14:textId="5F5DF6C9" w:rsidR="00692A2E" w:rsidRPr="00413332" w:rsidRDefault="00692A2E" w:rsidP="00692A2E">
      <w:pPr>
        <w:outlineLvl w:val="0"/>
        <w:rPr>
          <w:rFonts w:ascii="Calibri" w:hAnsi="Calibri" w:cs="Calibri"/>
          <w:b/>
          <w:bCs/>
          <w:sz w:val="22"/>
        </w:rPr>
      </w:pPr>
      <w:r w:rsidRPr="00413332">
        <w:rPr>
          <w:rFonts w:ascii="Calibri" w:hAnsi="Calibri" w:cs="Calibri"/>
          <w:b/>
          <w:bCs/>
          <w:sz w:val="22"/>
        </w:rPr>
        <w:t>1</w:t>
      </w:r>
      <w:r w:rsidR="00183F26" w:rsidRPr="00413332">
        <w:rPr>
          <w:rFonts w:ascii="Calibri" w:hAnsi="Calibri" w:cs="Calibri"/>
          <w:b/>
          <w:bCs/>
          <w:sz w:val="22"/>
        </w:rPr>
        <w:t>1</w:t>
      </w:r>
      <w:r w:rsidRPr="00413332">
        <w:rPr>
          <w:rFonts w:ascii="Calibri" w:hAnsi="Calibri" w:cs="Calibri"/>
          <w:b/>
          <w:bCs/>
          <w:sz w:val="22"/>
        </w:rPr>
        <w:t>. POLICY AVAILABILITY</w:t>
      </w:r>
    </w:p>
    <w:p w14:paraId="1F3F37B2" w14:textId="2476C22A" w:rsidR="00692A2E" w:rsidRPr="00413332" w:rsidRDefault="00692A2E" w:rsidP="00692A2E">
      <w:pPr>
        <w:ind w:left="720" w:hanging="720"/>
        <w:rPr>
          <w:rFonts w:ascii="Calibri" w:hAnsi="Calibri" w:cs="Calibri"/>
          <w:sz w:val="22"/>
        </w:rPr>
      </w:pPr>
      <w:r w:rsidRPr="00413332">
        <w:rPr>
          <w:rFonts w:ascii="Calibri" w:hAnsi="Calibri" w:cs="Calibri"/>
          <w:sz w:val="22"/>
        </w:rPr>
        <w:t>1</w:t>
      </w:r>
      <w:r w:rsidR="00183F26" w:rsidRPr="00413332">
        <w:rPr>
          <w:rFonts w:ascii="Calibri" w:hAnsi="Calibri" w:cs="Calibri"/>
          <w:sz w:val="22"/>
        </w:rPr>
        <w:t>1</w:t>
      </w:r>
      <w:r w:rsidRPr="00413332">
        <w:rPr>
          <w:rFonts w:ascii="Calibri" w:hAnsi="Calibri" w:cs="Calibri"/>
          <w:sz w:val="22"/>
        </w:rPr>
        <w:t>.1</w:t>
      </w:r>
      <w:r w:rsidRPr="00413332">
        <w:rPr>
          <w:rFonts w:ascii="Calibri" w:hAnsi="Calibri" w:cs="Calibri"/>
          <w:sz w:val="22"/>
        </w:rPr>
        <w:tab/>
        <w:t>This document can also be provided in large print, braille, audio, or other non-written format and in a variety of languages, on request.</w:t>
      </w:r>
    </w:p>
    <w:p w14:paraId="57487B82" w14:textId="77777777" w:rsidR="00692A2E" w:rsidRPr="00413332" w:rsidRDefault="00692A2E" w:rsidP="00692A2E">
      <w:pPr>
        <w:rPr>
          <w:rFonts w:ascii="Calibri" w:hAnsi="Calibri" w:cs="Calibri"/>
          <w:sz w:val="22"/>
        </w:rPr>
      </w:pPr>
    </w:p>
    <w:p w14:paraId="12B70DE2" w14:textId="51F8F66A" w:rsidR="00692A2E" w:rsidRPr="00413332" w:rsidRDefault="00692A2E" w:rsidP="00692A2E">
      <w:pPr>
        <w:outlineLvl w:val="0"/>
        <w:rPr>
          <w:rFonts w:ascii="Calibri" w:hAnsi="Calibri" w:cs="Calibri"/>
          <w:b/>
          <w:bCs/>
          <w:sz w:val="22"/>
        </w:rPr>
      </w:pPr>
      <w:r w:rsidRPr="00413332">
        <w:rPr>
          <w:rFonts w:ascii="Calibri" w:hAnsi="Calibri" w:cs="Calibri"/>
          <w:b/>
          <w:bCs/>
          <w:sz w:val="22"/>
        </w:rPr>
        <w:t>1</w:t>
      </w:r>
      <w:r w:rsidR="00183F26" w:rsidRPr="00413332">
        <w:rPr>
          <w:rFonts w:ascii="Calibri" w:hAnsi="Calibri" w:cs="Calibri"/>
          <w:b/>
          <w:bCs/>
          <w:sz w:val="22"/>
        </w:rPr>
        <w:t>2</w:t>
      </w:r>
      <w:r w:rsidRPr="00413332">
        <w:rPr>
          <w:rFonts w:ascii="Calibri" w:hAnsi="Calibri" w:cs="Calibri"/>
          <w:b/>
          <w:bCs/>
          <w:sz w:val="22"/>
        </w:rPr>
        <w:t>. MONITORING AND REVIEW</w:t>
      </w:r>
    </w:p>
    <w:p w14:paraId="6251AD6D" w14:textId="51E367A3" w:rsidR="000E25E9" w:rsidRPr="00413332" w:rsidRDefault="00692A2E" w:rsidP="00692A2E">
      <w:pPr>
        <w:ind w:left="720" w:hanging="720"/>
        <w:rPr>
          <w:rFonts w:ascii="Calibri" w:hAnsi="Calibri" w:cs="Calibri"/>
          <w:sz w:val="22"/>
        </w:rPr>
      </w:pPr>
      <w:r w:rsidRPr="00413332">
        <w:rPr>
          <w:rFonts w:ascii="Calibri" w:hAnsi="Calibri" w:cs="Calibri"/>
          <w:sz w:val="22"/>
        </w:rPr>
        <w:t>1</w:t>
      </w:r>
      <w:r w:rsidR="00183F26" w:rsidRPr="00413332">
        <w:rPr>
          <w:rFonts w:ascii="Calibri" w:hAnsi="Calibri" w:cs="Calibri"/>
          <w:sz w:val="22"/>
        </w:rPr>
        <w:t>2</w:t>
      </w:r>
      <w:r w:rsidRPr="00413332">
        <w:rPr>
          <w:rFonts w:ascii="Calibri" w:hAnsi="Calibri" w:cs="Calibri"/>
          <w:sz w:val="22"/>
        </w:rPr>
        <w:t>.1</w:t>
      </w:r>
      <w:r w:rsidRPr="00413332">
        <w:rPr>
          <w:rFonts w:ascii="Calibri" w:hAnsi="Calibri" w:cs="Calibri"/>
          <w:sz w:val="22"/>
        </w:rPr>
        <w:tab/>
      </w:r>
      <w:r w:rsidR="000E25E9" w:rsidRPr="00413332">
        <w:rPr>
          <w:rFonts w:ascii="Calibri" w:hAnsi="Calibri" w:cs="Calibri"/>
          <w:sz w:val="22"/>
        </w:rPr>
        <w:t>A report highlighting all open Notifiable Events will be presented by the CEO at each full Board meeting.</w:t>
      </w:r>
    </w:p>
    <w:p w14:paraId="139C60E9" w14:textId="7947F893" w:rsidR="00692A2E" w:rsidRPr="00413332" w:rsidRDefault="000E25E9" w:rsidP="00692A2E">
      <w:pPr>
        <w:ind w:left="720" w:hanging="720"/>
        <w:rPr>
          <w:rFonts w:ascii="Calibri" w:hAnsi="Calibri" w:cs="Calibri"/>
          <w:sz w:val="22"/>
        </w:rPr>
      </w:pPr>
      <w:r w:rsidRPr="00413332">
        <w:rPr>
          <w:rFonts w:ascii="Calibri" w:hAnsi="Calibri" w:cs="Calibri"/>
          <w:sz w:val="22"/>
        </w:rPr>
        <w:t>12.2</w:t>
      </w:r>
      <w:r w:rsidRPr="00413332">
        <w:rPr>
          <w:rFonts w:ascii="Calibri" w:hAnsi="Calibri" w:cs="Calibri"/>
          <w:sz w:val="22"/>
        </w:rPr>
        <w:tab/>
      </w:r>
      <w:r w:rsidR="00692A2E" w:rsidRPr="00413332">
        <w:rPr>
          <w:rFonts w:ascii="Calibri" w:hAnsi="Calibri" w:cs="Calibri"/>
          <w:sz w:val="22"/>
        </w:rPr>
        <w:t xml:space="preserve">This policy will be reviewed every </w:t>
      </w:r>
      <w:r w:rsidR="00183F26" w:rsidRPr="00413332">
        <w:rPr>
          <w:rFonts w:ascii="Calibri" w:hAnsi="Calibri" w:cs="Calibri"/>
          <w:sz w:val="22"/>
        </w:rPr>
        <w:t>three</w:t>
      </w:r>
      <w:r w:rsidR="00692A2E" w:rsidRPr="00413332">
        <w:rPr>
          <w:rFonts w:ascii="Calibri" w:hAnsi="Calibri" w:cs="Calibri"/>
          <w:sz w:val="22"/>
        </w:rPr>
        <w:t xml:space="preserve"> years, unless amendment is prompted by a change in legislation, operational requirements, or </w:t>
      </w:r>
      <w:r w:rsidR="00183F26" w:rsidRPr="00413332">
        <w:rPr>
          <w:rFonts w:ascii="Calibri" w:hAnsi="Calibri" w:cs="Calibri"/>
          <w:sz w:val="22"/>
        </w:rPr>
        <w:t>stakeholder</w:t>
      </w:r>
      <w:r w:rsidR="00692A2E" w:rsidRPr="00413332">
        <w:rPr>
          <w:rFonts w:ascii="Calibri" w:hAnsi="Calibri" w:cs="Calibri"/>
          <w:sz w:val="22"/>
        </w:rPr>
        <w:t xml:space="preserve"> feedback.</w:t>
      </w:r>
    </w:p>
    <w:p w14:paraId="79C75025" w14:textId="77777777" w:rsidR="00692A2E" w:rsidRPr="00B67BCE" w:rsidRDefault="00692A2E" w:rsidP="009D02C1">
      <w:pPr>
        <w:spacing w:after="0" w:line="240" w:lineRule="auto"/>
        <w:ind w:right="-618"/>
        <w:jc w:val="both"/>
        <w:rPr>
          <w:rFonts w:asciiTheme="minorHAnsi" w:hAnsiTheme="minorHAnsi" w:cstheme="minorHAnsi"/>
          <w:sz w:val="22"/>
        </w:rPr>
      </w:pPr>
    </w:p>
    <w:sectPr w:rsidR="00692A2E" w:rsidRPr="00B67BCE" w:rsidSect="00B70066">
      <w:footerReference w:type="default" r:id="rId11"/>
      <w:pgSz w:w="11906" w:h="16838"/>
      <w:pgMar w:top="851" w:right="1440" w:bottom="851"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241C8" w14:textId="77777777" w:rsidR="00421CB7" w:rsidRDefault="00421CB7" w:rsidP="005253A4">
      <w:pPr>
        <w:spacing w:after="0" w:line="240" w:lineRule="auto"/>
      </w:pPr>
      <w:r>
        <w:separator/>
      </w:r>
    </w:p>
  </w:endnote>
  <w:endnote w:type="continuationSeparator" w:id="0">
    <w:p w14:paraId="7E351723" w14:textId="77777777" w:rsidR="00421CB7" w:rsidRDefault="00421CB7" w:rsidP="0052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174210"/>
      <w:docPartObj>
        <w:docPartGallery w:val="Page Numbers (Bottom of Page)"/>
        <w:docPartUnique/>
      </w:docPartObj>
    </w:sdtPr>
    <w:sdtEndPr>
      <w:rPr>
        <w:noProof/>
      </w:rPr>
    </w:sdtEndPr>
    <w:sdtContent>
      <w:p w14:paraId="4AE8486D" w14:textId="77777777" w:rsidR="00421CB7" w:rsidRDefault="00421CB7">
        <w:pPr>
          <w:pStyle w:val="Footer"/>
          <w:jc w:val="right"/>
        </w:pPr>
        <w:r>
          <w:fldChar w:fldCharType="begin"/>
        </w:r>
        <w:r>
          <w:instrText xml:space="preserve"> PAGE   \* MERGEFORMAT </w:instrText>
        </w:r>
        <w:r>
          <w:fldChar w:fldCharType="separate"/>
        </w:r>
        <w:r w:rsidR="00FE5411">
          <w:rPr>
            <w:noProof/>
          </w:rPr>
          <w:t>2</w:t>
        </w:r>
        <w:r>
          <w:rPr>
            <w:noProof/>
          </w:rPr>
          <w:fldChar w:fldCharType="end"/>
        </w:r>
      </w:p>
    </w:sdtContent>
  </w:sdt>
  <w:p w14:paraId="4C2F6107" w14:textId="77777777" w:rsidR="00421CB7" w:rsidRDefault="00421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40F2A" w14:textId="77777777" w:rsidR="00421CB7" w:rsidRDefault="00421CB7" w:rsidP="005253A4">
      <w:pPr>
        <w:spacing w:after="0" w:line="240" w:lineRule="auto"/>
      </w:pPr>
      <w:r>
        <w:separator/>
      </w:r>
    </w:p>
  </w:footnote>
  <w:footnote w:type="continuationSeparator" w:id="0">
    <w:p w14:paraId="5E895AEA" w14:textId="77777777" w:rsidR="00421CB7" w:rsidRDefault="00421CB7" w:rsidP="00525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C4EE9"/>
    <w:multiLevelType w:val="hybridMultilevel"/>
    <w:tmpl w:val="0FB01A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041386"/>
    <w:multiLevelType w:val="hybridMultilevel"/>
    <w:tmpl w:val="81784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B424BC1"/>
    <w:multiLevelType w:val="hybridMultilevel"/>
    <w:tmpl w:val="C17405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527743"/>
    <w:multiLevelType w:val="hybridMultilevel"/>
    <w:tmpl w:val="32C2BC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5EE3CD4"/>
    <w:multiLevelType w:val="hybridMultilevel"/>
    <w:tmpl w:val="B420C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A5D720F"/>
    <w:multiLevelType w:val="hybridMultilevel"/>
    <w:tmpl w:val="68AAD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18192466">
    <w:abstractNumId w:val="0"/>
  </w:num>
  <w:num w:numId="2" w16cid:durableId="1497766103">
    <w:abstractNumId w:val="5"/>
  </w:num>
  <w:num w:numId="3" w16cid:durableId="1285968607">
    <w:abstractNumId w:val="4"/>
  </w:num>
  <w:num w:numId="4" w16cid:durableId="1834637071">
    <w:abstractNumId w:val="3"/>
  </w:num>
  <w:num w:numId="5" w16cid:durableId="1461068008">
    <w:abstractNumId w:val="1"/>
  </w:num>
  <w:num w:numId="6" w16cid:durableId="191524005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3sDA1NbYwNTS3NDRR0lEKTi0uzszPAymwrAUAcJbzdywAAAA="/>
  </w:docVars>
  <w:rsids>
    <w:rsidRoot w:val="00F6189F"/>
    <w:rsid w:val="00014748"/>
    <w:rsid w:val="00015CF0"/>
    <w:rsid w:val="00041C2E"/>
    <w:rsid w:val="0004511F"/>
    <w:rsid w:val="00060309"/>
    <w:rsid w:val="00061B33"/>
    <w:rsid w:val="00065907"/>
    <w:rsid w:val="000712F3"/>
    <w:rsid w:val="000805AA"/>
    <w:rsid w:val="000B7223"/>
    <w:rsid w:val="000C1BE9"/>
    <w:rsid w:val="000C6E54"/>
    <w:rsid w:val="000D18CC"/>
    <w:rsid w:val="000D36A5"/>
    <w:rsid w:val="000E25E9"/>
    <w:rsid w:val="000F6D5F"/>
    <w:rsid w:val="001006E0"/>
    <w:rsid w:val="00111F0E"/>
    <w:rsid w:val="00122008"/>
    <w:rsid w:val="00122E98"/>
    <w:rsid w:val="0013029C"/>
    <w:rsid w:val="00130F0A"/>
    <w:rsid w:val="00144D73"/>
    <w:rsid w:val="0015211F"/>
    <w:rsid w:val="00160945"/>
    <w:rsid w:val="00161370"/>
    <w:rsid w:val="001669AF"/>
    <w:rsid w:val="001742DB"/>
    <w:rsid w:val="00180C68"/>
    <w:rsid w:val="00181834"/>
    <w:rsid w:val="00183CD4"/>
    <w:rsid w:val="00183F26"/>
    <w:rsid w:val="00191278"/>
    <w:rsid w:val="00194D52"/>
    <w:rsid w:val="00197D51"/>
    <w:rsid w:val="001B0E9D"/>
    <w:rsid w:val="001B5C2A"/>
    <w:rsid w:val="001D238F"/>
    <w:rsid w:val="001E09EB"/>
    <w:rsid w:val="001F34BA"/>
    <w:rsid w:val="00212E9B"/>
    <w:rsid w:val="00225D20"/>
    <w:rsid w:val="0024592D"/>
    <w:rsid w:val="00260460"/>
    <w:rsid w:val="00284E68"/>
    <w:rsid w:val="002908B6"/>
    <w:rsid w:val="002A4BF0"/>
    <w:rsid w:val="002C4EEF"/>
    <w:rsid w:val="002F0173"/>
    <w:rsid w:val="002F7FE3"/>
    <w:rsid w:val="00310029"/>
    <w:rsid w:val="003225D6"/>
    <w:rsid w:val="00347642"/>
    <w:rsid w:val="00360D90"/>
    <w:rsid w:val="003639D9"/>
    <w:rsid w:val="00374976"/>
    <w:rsid w:val="00380FA3"/>
    <w:rsid w:val="00385884"/>
    <w:rsid w:val="00396287"/>
    <w:rsid w:val="003A6C28"/>
    <w:rsid w:val="003B1E50"/>
    <w:rsid w:val="003B7279"/>
    <w:rsid w:val="003C072E"/>
    <w:rsid w:val="003D0871"/>
    <w:rsid w:val="003D2A9D"/>
    <w:rsid w:val="003E7982"/>
    <w:rsid w:val="00411945"/>
    <w:rsid w:val="00413332"/>
    <w:rsid w:val="00416065"/>
    <w:rsid w:val="00421CB7"/>
    <w:rsid w:val="00421D50"/>
    <w:rsid w:val="004445D9"/>
    <w:rsid w:val="00454103"/>
    <w:rsid w:val="00454522"/>
    <w:rsid w:val="00465A35"/>
    <w:rsid w:val="004B3AF2"/>
    <w:rsid w:val="004C067D"/>
    <w:rsid w:val="004C0EED"/>
    <w:rsid w:val="004C505D"/>
    <w:rsid w:val="004C5FCF"/>
    <w:rsid w:val="004C7919"/>
    <w:rsid w:val="004D3814"/>
    <w:rsid w:val="004D7169"/>
    <w:rsid w:val="004F7941"/>
    <w:rsid w:val="005216E7"/>
    <w:rsid w:val="005253A4"/>
    <w:rsid w:val="00546244"/>
    <w:rsid w:val="0056612E"/>
    <w:rsid w:val="005765F4"/>
    <w:rsid w:val="0059119C"/>
    <w:rsid w:val="005C08D6"/>
    <w:rsid w:val="005D1D8C"/>
    <w:rsid w:val="005D55F6"/>
    <w:rsid w:val="005F4D9D"/>
    <w:rsid w:val="0061505F"/>
    <w:rsid w:val="00620B1C"/>
    <w:rsid w:val="00624614"/>
    <w:rsid w:val="00642D3E"/>
    <w:rsid w:val="0065326F"/>
    <w:rsid w:val="00653A72"/>
    <w:rsid w:val="00653F41"/>
    <w:rsid w:val="00656109"/>
    <w:rsid w:val="00687F3F"/>
    <w:rsid w:val="00692A2E"/>
    <w:rsid w:val="006A141E"/>
    <w:rsid w:val="006B65EA"/>
    <w:rsid w:val="006B7952"/>
    <w:rsid w:val="006C449D"/>
    <w:rsid w:val="006C7BA4"/>
    <w:rsid w:val="006D6638"/>
    <w:rsid w:val="006E723C"/>
    <w:rsid w:val="006F034A"/>
    <w:rsid w:val="007051B9"/>
    <w:rsid w:val="007170CD"/>
    <w:rsid w:val="00742864"/>
    <w:rsid w:val="0075189E"/>
    <w:rsid w:val="0078341F"/>
    <w:rsid w:val="007872D3"/>
    <w:rsid w:val="00793CEF"/>
    <w:rsid w:val="007C1E28"/>
    <w:rsid w:val="007C36BA"/>
    <w:rsid w:val="007D08A8"/>
    <w:rsid w:val="007D1577"/>
    <w:rsid w:val="007E440D"/>
    <w:rsid w:val="007E60C0"/>
    <w:rsid w:val="0080210C"/>
    <w:rsid w:val="00821D62"/>
    <w:rsid w:val="00835060"/>
    <w:rsid w:val="00845612"/>
    <w:rsid w:val="00875C44"/>
    <w:rsid w:val="00893445"/>
    <w:rsid w:val="008B4DE4"/>
    <w:rsid w:val="008D14C0"/>
    <w:rsid w:val="008D5BE3"/>
    <w:rsid w:val="008F475A"/>
    <w:rsid w:val="009021B8"/>
    <w:rsid w:val="00926A44"/>
    <w:rsid w:val="00944F88"/>
    <w:rsid w:val="00952624"/>
    <w:rsid w:val="0097459B"/>
    <w:rsid w:val="009C0B2A"/>
    <w:rsid w:val="009C6307"/>
    <w:rsid w:val="009D02C1"/>
    <w:rsid w:val="009E0A83"/>
    <w:rsid w:val="009E1B6C"/>
    <w:rsid w:val="00A10BF9"/>
    <w:rsid w:val="00A41C63"/>
    <w:rsid w:val="00A520F4"/>
    <w:rsid w:val="00A55FE8"/>
    <w:rsid w:val="00A8293E"/>
    <w:rsid w:val="00A83075"/>
    <w:rsid w:val="00A86B87"/>
    <w:rsid w:val="00A9106D"/>
    <w:rsid w:val="00A91493"/>
    <w:rsid w:val="00A9432A"/>
    <w:rsid w:val="00AB6A74"/>
    <w:rsid w:val="00AC5050"/>
    <w:rsid w:val="00B037DD"/>
    <w:rsid w:val="00B12726"/>
    <w:rsid w:val="00B30AD5"/>
    <w:rsid w:val="00B43A13"/>
    <w:rsid w:val="00B475E9"/>
    <w:rsid w:val="00B65D34"/>
    <w:rsid w:val="00B67BCE"/>
    <w:rsid w:val="00B70066"/>
    <w:rsid w:val="00B82BF8"/>
    <w:rsid w:val="00B91964"/>
    <w:rsid w:val="00B9264A"/>
    <w:rsid w:val="00BA4D63"/>
    <w:rsid w:val="00BB5FA8"/>
    <w:rsid w:val="00BC691C"/>
    <w:rsid w:val="00BD1437"/>
    <w:rsid w:val="00BE1AC6"/>
    <w:rsid w:val="00BF031B"/>
    <w:rsid w:val="00BF43D8"/>
    <w:rsid w:val="00C0788A"/>
    <w:rsid w:val="00C14B34"/>
    <w:rsid w:val="00C411E0"/>
    <w:rsid w:val="00C41DEF"/>
    <w:rsid w:val="00C44D61"/>
    <w:rsid w:val="00C45FD6"/>
    <w:rsid w:val="00C54870"/>
    <w:rsid w:val="00C82D79"/>
    <w:rsid w:val="00C92BEC"/>
    <w:rsid w:val="00CA61D9"/>
    <w:rsid w:val="00CA6297"/>
    <w:rsid w:val="00CC2D4F"/>
    <w:rsid w:val="00CC58DE"/>
    <w:rsid w:val="00CD0B67"/>
    <w:rsid w:val="00CE654F"/>
    <w:rsid w:val="00CE6800"/>
    <w:rsid w:val="00D008BE"/>
    <w:rsid w:val="00D0458E"/>
    <w:rsid w:val="00D1249E"/>
    <w:rsid w:val="00D21288"/>
    <w:rsid w:val="00D367EC"/>
    <w:rsid w:val="00D5274B"/>
    <w:rsid w:val="00D549AD"/>
    <w:rsid w:val="00D77394"/>
    <w:rsid w:val="00D879DD"/>
    <w:rsid w:val="00DA2FA8"/>
    <w:rsid w:val="00DB17C8"/>
    <w:rsid w:val="00DB5286"/>
    <w:rsid w:val="00DC2D82"/>
    <w:rsid w:val="00DC2FBB"/>
    <w:rsid w:val="00DE5E04"/>
    <w:rsid w:val="00DF1921"/>
    <w:rsid w:val="00E0038E"/>
    <w:rsid w:val="00E034E0"/>
    <w:rsid w:val="00E15A38"/>
    <w:rsid w:val="00E2760E"/>
    <w:rsid w:val="00E35934"/>
    <w:rsid w:val="00E41D21"/>
    <w:rsid w:val="00E44220"/>
    <w:rsid w:val="00E542C2"/>
    <w:rsid w:val="00E5562B"/>
    <w:rsid w:val="00E776E7"/>
    <w:rsid w:val="00E97EFC"/>
    <w:rsid w:val="00EB3AAA"/>
    <w:rsid w:val="00EB4FB1"/>
    <w:rsid w:val="00EC1412"/>
    <w:rsid w:val="00ED3EED"/>
    <w:rsid w:val="00EE2403"/>
    <w:rsid w:val="00EE5BCA"/>
    <w:rsid w:val="00EF5FA4"/>
    <w:rsid w:val="00F30AEF"/>
    <w:rsid w:val="00F6189F"/>
    <w:rsid w:val="00F838B7"/>
    <w:rsid w:val="00FC4AEB"/>
    <w:rsid w:val="00FD3720"/>
    <w:rsid w:val="00FE2958"/>
    <w:rsid w:val="00FE5411"/>
    <w:rsid w:val="00FF047A"/>
    <w:rsid w:val="00FF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72EE3"/>
  <w15:chartTrackingRefBased/>
  <w15:docId w15:val="{F3190361-5848-46E4-9A67-479F7008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92A2E"/>
    <w:pPr>
      <w:spacing w:after="0" w:line="240" w:lineRule="auto"/>
      <w:outlineLvl w:val="0"/>
    </w:pPr>
    <w:rPr>
      <w:rFonts w:ascii="Calibri" w:eastAsia="Times New Roman" w:hAnsi="Calibri"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1AC6"/>
    <w:pPr>
      <w:spacing w:after="0" w:line="240" w:lineRule="auto"/>
      <w:jc w:val="both"/>
    </w:pPr>
    <w:rPr>
      <w:rFonts w:ascii="Book Antiqua" w:eastAsia="Times New Roman" w:hAnsi="Book Antiqua" w:cs="Times New Roman"/>
      <w:sz w:val="28"/>
      <w:szCs w:val="20"/>
    </w:rPr>
  </w:style>
  <w:style w:type="character" w:customStyle="1" w:styleId="BodyTextChar">
    <w:name w:val="Body Text Char"/>
    <w:basedOn w:val="DefaultParagraphFont"/>
    <w:link w:val="BodyText"/>
    <w:rsid w:val="00BE1AC6"/>
    <w:rPr>
      <w:rFonts w:ascii="Book Antiqua" w:eastAsia="Times New Roman" w:hAnsi="Book Antiqua" w:cs="Times New Roman"/>
      <w:sz w:val="28"/>
      <w:szCs w:val="20"/>
    </w:rPr>
  </w:style>
  <w:style w:type="paragraph" w:styleId="Header">
    <w:name w:val="header"/>
    <w:basedOn w:val="Normal"/>
    <w:link w:val="HeaderChar"/>
    <w:uiPriority w:val="99"/>
    <w:unhideWhenUsed/>
    <w:rsid w:val="00525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3A4"/>
  </w:style>
  <w:style w:type="paragraph" w:styleId="Footer">
    <w:name w:val="footer"/>
    <w:basedOn w:val="Normal"/>
    <w:link w:val="FooterChar"/>
    <w:uiPriority w:val="99"/>
    <w:unhideWhenUsed/>
    <w:rsid w:val="00525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3A4"/>
  </w:style>
  <w:style w:type="character" w:customStyle="1" w:styleId="Heading1Char">
    <w:name w:val="Heading 1 Char"/>
    <w:basedOn w:val="DefaultParagraphFont"/>
    <w:link w:val="Heading1"/>
    <w:rsid w:val="00692A2E"/>
    <w:rPr>
      <w:rFonts w:ascii="Calibri" w:eastAsia="Times New Roman" w:hAnsi="Calibri" w:cs="Times New Roman"/>
      <w:b/>
      <w:sz w:val="22"/>
    </w:rPr>
  </w:style>
  <w:style w:type="paragraph" w:styleId="ListParagraph">
    <w:name w:val="List Paragraph"/>
    <w:basedOn w:val="Normal"/>
    <w:uiPriority w:val="34"/>
    <w:qFormat/>
    <w:rsid w:val="00014748"/>
    <w:pPr>
      <w:spacing w:after="0" w:line="240" w:lineRule="auto"/>
      <w:ind w:left="720"/>
      <w:contextualSpacing/>
    </w:pPr>
    <w:rPr>
      <w:rFonts w:ascii="Times New Roman" w:eastAsia="Times New Roman" w:hAnsi="Times New Roman" w:cs="Times New Roman"/>
      <w:szCs w:val="24"/>
    </w:rPr>
  </w:style>
  <w:style w:type="paragraph" w:styleId="BodyText3">
    <w:name w:val="Body Text 3"/>
    <w:basedOn w:val="Normal"/>
    <w:link w:val="BodyText3Char"/>
    <w:uiPriority w:val="99"/>
    <w:unhideWhenUsed/>
    <w:rsid w:val="00E542C2"/>
    <w:pPr>
      <w:spacing w:after="120"/>
    </w:pPr>
    <w:rPr>
      <w:sz w:val="16"/>
      <w:szCs w:val="16"/>
    </w:rPr>
  </w:style>
  <w:style w:type="character" w:customStyle="1" w:styleId="BodyText3Char">
    <w:name w:val="Body Text 3 Char"/>
    <w:basedOn w:val="DefaultParagraphFont"/>
    <w:link w:val="BodyText3"/>
    <w:uiPriority w:val="99"/>
    <w:rsid w:val="00E542C2"/>
    <w:rPr>
      <w:sz w:val="16"/>
      <w:szCs w:val="16"/>
    </w:rPr>
  </w:style>
  <w:style w:type="paragraph" w:styleId="Subtitle">
    <w:name w:val="Subtitle"/>
    <w:basedOn w:val="Normal"/>
    <w:link w:val="SubtitleChar"/>
    <w:qFormat/>
    <w:rsid w:val="004C0EED"/>
    <w:pPr>
      <w:spacing w:after="0" w:line="240" w:lineRule="auto"/>
      <w:jc w:val="center"/>
    </w:pPr>
    <w:rPr>
      <w:rFonts w:eastAsia="Times New Roman" w:cs="Times New Roman"/>
      <w:b/>
      <w:sz w:val="32"/>
      <w:szCs w:val="20"/>
    </w:rPr>
  </w:style>
  <w:style w:type="character" w:customStyle="1" w:styleId="SubtitleChar">
    <w:name w:val="Subtitle Char"/>
    <w:basedOn w:val="DefaultParagraphFont"/>
    <w:link w:val="Subtitle"/>
    <w:rsid w:val="004C0EED"/>
    <w:rPr>
      <w:rFonts w:eastAsia="Times New Roman" w:cs="Times New Roman"/>
      <w:b/>
      <w:sz w:val="32"/>
      <w:szCs w:val="20"/>
    </w:rPr>
  </w:style>
  <w:style w:type="character" w:styleId="CommentReference">
    <w:name w:val="annotation reference"/>
    <w:basedOn w:val="DefaultParagraphFont"/>
    <w:uiPriority w:val="99"/>
    <w:semiHidden/>
    <w:unhideWhenUsed/>
    <w:rsid w:val="007D08A8"/>
    <w:rPr>
      <w:sz w:val="16"/>
      <w:szCs w:val="16"/>
    </w:rPr>
  </w:style>
  <w:style w:type="paragraph" w:styleId="CommentText">
    <w:name w:val="annotation text"/>
    <w:basedOn w:val="Normal"/>
    <w:link w:val="CommentTextChar"/>
    <w:uiPriority w:val="99"/>
    <w:unhideWhenUsed/>
    <w:rsid w:val="007D08A8"/>
    <w:pPr>
      <w:spacing w:line="240" w:lineRule="auto"/>
    </w:pPr>
    <w:rPr>
      <w:sz w:val="20"/>
      <w:szCs w:val="20"/>
    </w:rPr>
  </w:style>
  <w:style w:type="character" w:customStyle="1" w:styleId="CommentTextChar">
    <w:name w:val="Comment Text Char"/>
    <w:basedOn w:val="DefaultParagraphFont"/>
    <w:link w:val="CommentText"/>
    <w:uiPriority w:val="99"/>
    <w:rsid w:val="007D08A8"/>
    <w:rPr>
      <w:sz w:val="20"/>
      <w:szCs w:val="20"/>
    </w:rPr>
  </w:style>
  <w:style w:type="paragraph" w:styleId="CommentSubject">
    <w:name w:val="annotation subject"/>
    <w:basedOn w:val="CommentText"/>
    <w:next w:val="CommentText"/>
    <w:link w:val="CommentSubjectChar"/>
    <w:uiPriority w:val="99"/>
    <w:semiHidden/>
    <w:unhideWhenUsed/>
    <w:rsid w:val="007D08A8"/>
    <w:rPr>
      <w:b/>
      <w:bCs/>
    </w:rPr>
  </w:style>
  <w:style w:type="character" w:customStyle="1" w:styleId="CommentSubjectChar">
    <w:name w:val="Comment Subject Char"/>
    <w:basedOn w:val="CommentTextChar"/>
    <w:link w:val="CommentSubject"/>
    <w:uiPriority w:val="99"/>
    <w:semiHidden/>
    <w:rsid w:val="007D08A8"/>
    <w:rPr>
      <w:b/>
      <w:bCs/>
      <w:sz w:val="20"/>
      <w:szCs w:val="20"/>
    </w:rPr>
  </w:style>
  <w:style w:type="paragraph" w:styleId="BalloonText">
    <w:name w:val="Balloon Text"/>
    <w:basedOn w:val="Normal"/>
    <w:link w:val="BalloonTextChar"/>
    <w:uiPriority w:val="99"/>
    <w:semiHidden/>
    <w:unhideWhenUsed/>
    <w:rsid w:val="007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8A8"/>
    <w:rPr>
      <w:rFonts w:ascii="Segoe UI" w:hAnsi="Segoe UI" w:cs="Segoe UI"/>
      <w:sz w:val="18"/>
      <w:szCs w:val="18"/>
    </w:rPr>
  </w:style>
  <w:style w:type="paragraph" w:styleId="Revision">
    <w:name w:val="Revision"/>
    <w:hidden/>
    <w:uiPriority w:val="99"/>
    <w:semiHidden/>
    <w:rsid w:val="00065907"/>
    <w:pPr>
      <w:spacing w:after="0" w:line="240" w:lineRule="auto"/>
    </w:pPr>
  </w:style>
  <w:style w:type="character" w:styleId="Hyperlink">
    <w:name w:val="Hyperlink"/>
    <w:basedOn w:val="DefaultParagraphFont"/>
    <w:uiPriority w:val="99"/>
    <w:unhideWhenUsed/>
    <w:rsid w:val="00952624"/>
    <w:rPr>
      <w:color w:val="0563C1" w:themeColor="hyperlink"/>
      <w:u w:val="single"/>
    </w:rPr>
  </w:style>
  <w:style w:type="character" w:styleId="FollowedHyperlink">
    <w:name w:val="FollowedHyperlink"/>
    <w:basedOn w:val="DefaultParagraphFont"/>
    <w:uiPriority w:val="99"/>
    <w:semiHidden/>
    <w:unhideWhenUsed/>
    <w:rsid w:val="00952624"/>
    <w:rPr>
      <w:color w:val="954F72" w:themeColor="followedHyperlink"/>
      <w:u w:val="single"/>
    </w:rPr>
  </w:style>
  <w:style w:type="character" w:styleId="PlaceholderText">
    <w:name w:val="Placeholder Text"/>
    <w:basedOn w:val="DefaultParagraphFont"/>
    <w:uiPriority w:val="99"/>
    <w:semiHidden/>
    <w:rsid w:val="00952624"/>
    <w:rPr>
      <w:color w:val="808080"/>
    </w:rPr>
  </w:style>
  <w:style w:type="paragraph" w:styleId="NormalWeb">
    <w:name w:val="Normal (Web)"/>
    <w:basedOn w:val="Normal"/>
    <w:uiPriority w:val="99"/>
    <w:semiHidden/>
    <w:unhideWhenUsed/>
    <w:rsid w:val="00692A2E"/>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938FBDCF7AA84C8D9D5C0D7A5B2618" ma:contentTypeVersion="4" ma:contentTypeDescription="Create a new document." ma:contentTypeScope="" ma:versionID="667c34ffb1e40af37307303f2d94ce0d">
  <xsd:schema xmlns:xsd="http://www.w3.org/2001/XMLSchema" xmlns:xs="http://www.w3.org/2001/XMLSchema" xmlns:p="http://schemas.microsoft.com/office/2006/metadata/properties" xmlns:ns3="c4511275-23c6-4786-b5f8-3df60eb8d001" targetNamespace="http://schemas.microsoft.com/office/2006/metadata/properties" ma:root="true" ma:fieldsID="09a130751e37945a54ec3b638df6e373" ns3:_="">
    <xsd:import namespace="c4511275-23c6-4786-b5f8-3df60eb8d0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11275-23c6-4786-b5f8-3df60eb8d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5B7502-1F53-4092-963D-AB798CB7C8B5}">
  <ds:schemaRefs>
    <ds:schemaRef ds:uri="http://schemas.microsoft.com/sharepoint/v3/contenttype/forms"/>
  </ds:schemaRefs>
</ds:datastoreItem>
</file>

<file path=customXml/itemProps2.xml><?xml version="1.0" encoding="utf-8"?>
<ds:datastoreItem xmlns:ds="http://schemas.openxmlformats.org/officeDocument/2006/customXml" ds:itemID="{321BE105-9B38-4E1A-9D2F-8947B498E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11275-23c6-4786-b5f8-3df60eb8d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8DC51B-C0E8-4B28-A006-F7B500A88DE7}">
  <ds:schemaRefs>
    <ds:schemaRef ds:uri="http://schemas.microsoft.com/office/2006/documentManagement/types"/>
    <ds:schemaRef ds:uri="http://schemas.microsoft.com/office/infopath/2007/PartnerControls"/>
    <ds:schemaRef ds:uri="c4511275-23c6-4786-b5f8-3df60eb8d001"/>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2635</Words>
  <Characters>15025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Bowden</dc:creator>
  <cp:keywords/>
  <dc:description/>
  <cp:lastModifiedBy>Lesley Carr</cp:lastModifiedBy>
  <cp:revision>12</cp:revision>
  <cp:lastPrinted>2022-08-25T10:49:00Z</cp:lastPrinted>
  <dcterms:created xsi:type="dcterms:W3CDTF">2023-08-23T11:07:00Z</dcterms:created>
  <dcterms:modified xsi:type="dcterms:W3CDTF">2023-10-02T13:31:00Z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0x01010090938FBDCF7AA84C8D9D5C0D7A5B2618</vt:lpwstr>
  </property>
</Properties>
</file>